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division,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division. The issuance of a declaratory order constitutes final agency action on the petition.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