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alcoholic beverages division for a declaratory order as to the applicability to specified circumstances of a statute, rule, or order within the primary jurisdiction of the division, at 1918 S.E. Hulsizer Road, Ankeny, Iowa 50021. A petition is deemed filed when it is received by the division. The division shall provide the petitioner with a file-stamped copy of the petition if the petitioner provides the agency an extra copy for this purpose. The petition shall be typewritten or legibly handwritten in ink and shall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ALCOHOLIC BEVERAGES DIVISION</w:t>
            </w:r>
          </w:p>
        </w:tc>
      </w:tr>
      <w:tr>
        <w:trPr>
          <w:trHeight w:val="139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10"/>
              </w:rPr>
              <w:t>}</w:t>
            </w:r>
          </w:p>
          <w:p>
            <w:pPr>
              <w:spacing w:before="0" w:after="0"/>
              <w:ind w:left="160"/>
              <w:jc w:val="center"/>
            </w:pPr>
            <w:r>
              <w:rPr>
                <w:rFonts w:ascii="Times New Roman" w:hAnsi="Times New Roman"/>
                <w:b w:val="false"/>
                <w:i w:val="false"/>
                <w:color w:val="000000"/>
                <w:sz w:val="110"/>
              </w:rPr>
              <w:t> </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w:t>
            </w:r>
          </w:p>
          <w:p>
            <w:pPr>
              <w:spacing w:before="0" w:after="0"/>
              <w:ind w:left="160"/>
              <w:jc w:val="center"/>
            </w:pPr>
            <w:r>
              <w:rPr>
                <w:rFonts w:ascii="Times New Roman" w:hAnsi="Times New Roman"/>
                <w:b w:val="false"/>
                <w:i w:val="false"/>
                <w:color w:val="000000"/>
                <w:sz w:val="16"/>
              </w:rPr>
              <w:t>ORDER</w:t>
            </w:r>
          </w:p>
        </w:tc>
      </w:tr>
    </w:tbl>
    <w:p>
      <w:pPr>
        <w:spacing w:before="0" w:after="0"/>
        <w:ind w:left="120"/>
        <w:jc w:val="left"/>
      </w:pPr>
      <w:r>
        <w:rPr>
          <w:rFonts w:ascii="Times New Roman" w:hAnsi="Times New Roman"/>
          <w:b w:val="false"/>
          <w:i w:val="false"/>
          <w:color w:val="000000"/>
          <w:sz w:val="22"/>
        </w:rPr>
        <w:t>The petition shall provide the following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4">
        <w:r>
          <w:rPr>
            <w:rStyle w:val="Hyperlink"/>
            <w:rFonts w:ascii="Times New Roman" w:hAnsi="Times New Roman"/>
            <w:b w:val="false"/>
            <w:i w:val="false"/>
            <w:color w:val="000000"/>
            <w:sz w:val="22"/>
          </w:rPr>
          <w:t>185—3.7</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The petition shall be dated and signed by the petitioner or the petitioner’s representative. It shall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3.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