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Rule different from proposed Notice of Intended Action. </w:t>
      </w:r>
      <w:r>
        <w:rPr>
          <w:rFonts w:ascii="Times New Roman" w:hAnsi="Times New Roman"/>
          <w:b w:val="false"/>
          <w:i w:val="false"/>
          <w:color w:val="000000"/>
          <w:sz w:val="22"/>
        </w:rPr>
        <w:t>The agency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Determining fair warning.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rule-making proceeding. </w:t>
      </w:r>
      <w:r>
        <w:rPr>
          <w:rFonts w:ascii="Times New Roman" w:hAnsi="Times New Roman"/>
          <w:b w:val="false"/>
          <w:i w:val="false"/>
          <w:color w:val="000000"/>
          <w:sz w:val="22"/>
        </w:rPr>
        <w:t>The agency shall commence a rule-making proceeding within 60 days of its receipt of a petition for rule making seeking the amendment or repeal of a rule that differs from the proposed rule contained in the Notice of Intended Action upon which the rule is based, unless the agency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Concurrent rule-making proceedings. </w:t>
      </w:r>
      <w:r>
        <w:rPr>
          <w:rFonts w:ascii="Times New Roman" w:hAnsi="Times New Roman"/>
          <w:b w:val="false"/>
          <w:i w:val="false"/>
          <w:color w:val="000000"/>
          <w:sz w:val="22"/>
        </w:rPr>
        <w:t>Nothing in this rule disturbs the discretion of the agency to initiate, concurrently, several different rule-making proceedings on the same subject with several different published Notices of Intended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