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Fiscal impact statement.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Fiscal impact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proposed rule that mandates additional combined expenditures exceeding $100,000 by all affected political subdivisions or agencies and entities which contract with political subdivisions to provide services shall be accompanied by a fiscal impact statement outlining the costs associated with the rule. A fiscal impact statement shall satisfy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Corrected fiscal impact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agency determines at the time it adopts a rule that the fiscal impact statement upon which the rule is based contains errors, the agency shall, at the same time, issue a corrected fiscal impact statement and publish the corrected fiscal impact statement in the Iowa Administrative Bulletin.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B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