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185—2.2</w:t>
      </w:r>
      <w:r>
        <w:rPr>
          <w:rFonts w:ascii="Times New Roman" w:hAnsi="Times New Roman"/>
          <w:b/>
          <w:i w:val="false"/>
          <w:color w:val="000000"/>
          <w:sz w:val="22"/>
        </w:rPr>
        <w:t xml:space="preserve">(17A) </w:t>
      </w:r>
      <w:r>
        <w:rPr>
          <w:rFonts w:ascii="Times New Roman" w:hAnsi="Times New Roman"/>
          <w:b/>
          <w:i w:val="false"/>
          <w:color w:val="000000"/>
          <w:sz w:val="22"/>
        </w:rPr>
        <w:t xml:space="preserve">Advice on possible rules before notice of proposed rule adoption. </w:t>
      </w:r>
      <w:r>
        <w:rPr>
          <w:rFonts w:ascii="Times New Roman" w:hAnsi="Times New Roman"/>
          <w:b w:val="false"/>
          <w:i w:val="false"/>
          <w:color w:val="000000"/>
          <w:sz w:val="22"/>
        </w:rPr>
        <w:t xml:space="preserve">In addition to seeking information by other methods, the agency may, before publication of a Notice of Intended Action under Iowa Code section </w:t>
      </w:r>
      <w:hyperlink r:id="rId4">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solicit comments from the public on a subject matter of possible rule making by the agency by causing notice to be published in the Iowa Administrative Bulletin of the subject matter and indicating where, when, and how persons may comment.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4.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