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185—2.16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agency shall maintain an official, current, and dated compilation that is indexed by subject, containing all of its general statements of policy within the scope of Iowa Code section </w:t>
      </w:r>
      <w:hyperlink r:id="rId4">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“a,” “c,” “f,” “g,” “h,” “k.”</w:t>
      </w:r>
      <w:r>
        <w:rPr>
          <w:rFonts w:ascii="Times New Roman" w:hAnsi="Times New Roman"/>
          <w:b w:val="false"/>
          <w:i w:val="false"/>
          <w:color w:val="000000"/>
          <w:sz w:val="22"/>
        </w:rPr>
        <w:t xml:space="preserve"> Each addition to, change in, or deletion from the official compilation shall also be dated, indexed, and a record thereof kept. Except for those portions containing rules governed by Iowa Code section </w:t>
      </w:r>
      <w:hyperlink r:id="rId5">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shall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subsection shall not be relied on by the agency to the detriment of any person who does not have actual, timely knowledge of the contents of the statement until the requirements of subrule </w:t>
      </w:r>
      <w:hyperlink r:id="rId6">
        <w:r>
          <w:rPr>
            <w:rStyle w:val="Hyperlink"/>
            <w:rFonts w:ascii="Times New Roman" w:hAnsi="Times New Roman"/>
            <w:b w:val="false"/>
            <w:i w:val="false"/>
            <w:color w:val="000000"/>
            <w:sz w:val="22"/>
          </w:rPr>
          <w:t>2.16(1)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2.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rule/185.2.1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