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shall be executed as soon after adoption of the rule as is practicable. At the time of filing, each rule shall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shall be attached to the filed rule within five working days after the note or statement is issued. In filing a rule, the agency shall use the standard form prescribed by the administrative rules coordinator.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