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left"/>
      </w:pPr>
      <w:r>
        <w:rPr>
          <w:rFonts w:ascii="Times New Roman" w:hAnsi="Times New Roman"/>
          <w:b/>
          <w:i w:val="false"/>
          <w:color w:val="000000"/>
          <w:sz w:val="22"/>
        </w:rPr>
        <w:t>185—2.13</w:t>
      </w:r>
      <w:r>
        <w:rPr>
          <w:rFonts w:ascii="Times New Roman" w:hAnsi="Times New Roman"/>
          <w:b/>
          <w:i w:val="false"/>
          <w:color w:val="000000"/>
          <w:sz w:val="22"/>
        </w:rPr>
        <w:t xml:space="preserve">(17A) </w:t>
      </w:r>
      <w:r>
        <w:rPr>
          <w:rFonts w:ascii="Times New Roman" w:hAnsi="Times New Roman"/>
          <w:b/>
          <w:i w:val="false"/>
          <w:color w:val="000000"/>
          <w:sz w:val="22"/>
        </w:rPr>
        <w:t xml:space="preserve">Agency rule-making record.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2.13(1)</w:t>
      </w:r>
      <w:r>
        <w:rPr>
          <w:rFonts w:ascii="Times New Roman" w:hAnsi="Times New Roman"/>
          <w:b w:val="false"/>
          <w:i w:val="false"/>
          <w:color w:val="000000"/>
          <w:sz w:val="22"/>
        </w:rPr>
        <w:t> </w:t>
      </w:r>
      <w:r>
        <w:rPr>
          <w:rFonts w:ascii="Times New Roman" w:hAnsi="Times New Roman"/>
          <w:b w:val="false"/>
          <w:i/>
          <w:color w:val="000000"/>
          <w:sz w:val="22"/>
        </w:rPr>
        <w:t xml:space="preserve">Requirement. </w:t>
      </w:r>
      <w:r>
        <w:rPr>
          <w:rFonts w:ascii="Times New Roman" w:hAnsi="Times New Roman"/>
          <w:b w:val="false"/>
          <w:i w:val="false"/>
          <w:color w:val="000000"/>
          <w:sz w:val="22"/>
        </w:rPr>
        <w:t>The agency shall maintain an official rule-making record for each rule it proposes by publication in the Iowa Administrative Bulletin of a Notice of Intended Action, or adopts. The rule-making record and materials incorporated by reference shall be available for public inspection.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2.13(2)</w:t>
      </w:r>
      <w:r>
        <w:rPr>
          <w:rFonts w:ascii="Times New Roman" w:hAnsi="Times New Roman"/>
          <w:b w:val="false"/>
          <w:i w:val="false"/>
          <w:color w:val="000000"/>
          <w:sz w:val="22"/>
        </w:rPr>
        <w:t> </w:t>
      </w:r>
      <w:r>
        <w:rPr>
          <w:rFonts w:ascii="Times New Roman" w:hAnsi="Times New Roman"/>
          <w:b w:val="false"/>
          <w:i/>
          <w:color w:val="000000"/>
          <w:sz w:val="22"/>
        </w:rPr>
        <w:t xml:space="preserve">Contents. </w:t>
      </w:r>
      <w:r>
        <w:rPr>
          <w:rFonts w:ascii="Times New Roman" w:hAnsi="Times New Roman"/>
          <w:b w:val="false"/>
          <w:i w:val="false"/>
          <w:color w:val="000000"/>
          <w:sz w:val="22"/>
        </w:rPr>
        <w:t>The agency rule-making record shall contain: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Copies of all publications in the Iowa Administrative Bulletin with respect to the rule or the proceeding upon which the rule is based and any file-stamped copies of agency submissions to the administrative rules coordinator concerning that rule or the proceeding upon which it is based;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Copies of any portions of the agency’s public rule-making docket containing entries relating to the rule or the proceeding upon which the rule is based;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All written petitions, requests, and submissions received by the agency, and all other written materials of a factual nature as distinguished from opinion that are relevant to the merits of the rule and that were created or compiled by the agency and considered by the administrator, in connection with the formulation, proposal, or adoption of the rule or the proceeding upon which the rule is based, except to the extent the agency is authorized by law to keep them confidential; provided, however, that when any such materials are deleted because they are authorized by law to be kept confidential, the agency shall identify in the record the particular materials deleted and state the reasons for that deletion;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Any official transcript of oral presentations made in the proceeding upon which the rule is based or, if not transcribed, the stenographic record or electronic recording of those presentations, and any memorandum prepared by a presiding officer summarizing the contents of those presentations;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 copy of any regulatory analysis or fiscal impact statement prepared for the proceeding upon which the rule is based;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A copy of the rule and any concise statement of reasons prepared for that 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All petitions for amendment or repeal or suspension of the 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 xml:space="preserve">A copy of any objection to the issuance of that rule without public notice and participation that was filed pursuant to Iowa Code section </w:t>
      </w:r>
      <w:hyperlink r:id="rId4">
        <w:r>
          <w:rPr>
            <w:rStyle w:val="Hyperlink"/>
            <w:rFonts w:ascii="Times New Roman" w:hAnsi="Times New Roman"/>
            <w:b w:val="false"/>
            <w:i w:val="false"/>
            <w:color w:val="000000"/>
            <w:sz w:val="22"/>
          </w:rPr>
          <w:t>17A.4(4)</w:t>
        </w:r>
      </w:hyperlink>
      <w:r>
        <w:rPr>
          <w:rFonts w:ascii="Times New Roman" w:hAnsi="Times New Roman"/>
          <w:b w:val="false"/>
          <w:i w:val="false"/>
          <w:color w:val="000000"/>
          <w:sz w:val="22"/>
        </w:rPr>
        <w:t xml:space="preserve"> by the administrative rules review committee, the governor, or the attorney general;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 xml:space="preserve">A copy of any objection to the rule filed by the administrative rules review committee, the governor, or the attorney general pursuant to Iowa Code section </w:t>
      </w:r>
      <w:hyperlink r:id="rId5">
        <w:r>
          <w:rPr>
            <w:rStyle w:val="Hyperlink"/>
            <w:rFonts w:ascii="Times New Roman" w:hAnsi="Times New Roman"/>
            <w:b w:val="false"/>
            <w:i w:val="false"/>
            <w:color w:val="000000"/>
            <w:sz w:val="22"/>
          </w:rPr>
          <w:t>17A.4(6)</w:t>
        </w:r>
      </w:hyperlink>
      <w:r>
        <w:rPr>
          <w:rFonts w:ascii="Times New Roman" w:hAnsi="Times New Roman"/>
          <w:b w:val="false"/>
          <w:i/>
          <w:color w:val="000000"/>
          <w:sz w:val="22"/>
        </w:rPr>
        <w:t>“a,”</w:t>
      </w:r>
      <w:r>
        <w:rPr>
          <w:rFonts w:ascii="Times New Roman" w:hAnsi="Times New Roman"/>
          <w:b w:val="false"/>
          <w:i w:val="false"/>
          <w:color w:val="000000"/>
          <w:sz w:val="22"/>
        </w:rPr>
        <w:t xml:space="preserve"> and any agency response to that objection;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A copy of any significant written criticism of the rule, including a summary of any petitions for waiver of the rule;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w:t>
      </w:r>
      <w:r>
        <w:rPr>
          <w:rFonts w:ascii="Times New Roman" w:hAnsi="Times New Roman"/>
          <w:b w:val="false"/>
          <w:i w:val="false"/>
          <w:color w:val="000000"/>
          <w:sz w:val="22"/>
        </w:rPr>
        <w:t>  </w:t>
      </w:r>
      <w:r>
        <w:rPr>
          <w:rFonts w:ascii="Times New Roman" w:hAnsi="Times New Roman"/>
          <w:b w:val="false"/>
          <w:i w:val="false"/>
          <w:color w:val="000000"/>
          <w:sz w:val="22"/>
        </w:rPr>
        <w:t>A copy of any executive order concerning the rule.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2.13(3)</w:t>
      </w:r>
      <w:r>
        <w:rPr>
          <w:rFonts w:ascii="Times New Roman" w:hAnsi="Times New Roman"/>
          <w:b w:val="false"/>
          <w:i w:val="false"/>
          <w:color w:val="000000"/>
          <w:sz w:val="22"/>
        </w:rPr>
        <w:t> </w:t>
      </w:r>
      <w:r>
        <w:rPr>
          <w:rFonts w:ascii="Times New Roman" w:hAnsi="Times New Roman"/>
          <w:b w:val="false"/>
          <w:i/>
          <w:color w:val="000000"/>
          <w:sz w:val="22"/>
        </w:rPr>
        <w:t xml:space="preserve">Effect of record. </w:t>
      </w:r>
      <w:r>
        <w:rPr>
          <w:rFonts w:ascii="Times New Roman" w:hAnsi="Times New Roman"/>
          <w:b w:val="false"/>
          <w:i w:val="false"/>
          <w:color w:val="000000"/>
          <w:sz w:val="22"/>
        </w:rPr>
        <w:t>Except as otherwise required by a provision of law, the agency rule-making record required by this rule need not constitute the exclusive basis for agency action on that rule.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2.13(4)</w:t>
      </w:r>
      <w:r>
        <w:rPr>
          <w:rFonts w:ascii="Times New Roman" w:hAnsi="Times New Roman"/>
          <w:b w:val="false"/>
          <w:i w:val="false"/>
          <w:color w:val="000000"/>
          <w:sz w:val="22"/>
        </w:rPr>
        <w:t> </w:t>
      </w:r>
      <w:r>
        <w:rPr>
          <w:rFonts w:ascii="Times New Roman" w:hAnsi="Times New Roman"/>
          <w:b w:val="false"/>
          <w:i/>
          <w:color w:val="000000"/>
          <w:sz w:val="22"/>
        </w:rPr>
        <w:t xml:space="preserve">Maintenance of record. </w:t>
      </w:r>
      <w:r>
        <w:rPr>
          <w:rFonts w:ascii="Times New Roman" w:hAnsi="Times New Roman"/>
          <w:b w:val="false"/>
          <w:i w:val="false"/>
          <w:color w:val="000000"/>
          <w:sz w:val="22"/>
        </w:rPr>
        <w:t xml:space="preserve">The agency shall maintain the rule-making record for a period of not less than five years from the later of the date the rule to which it pertains became effective, the date of the Notice of Intended Action, or the date of any written criticism as described in paragraph </w:t>
      </w:r>
      <w:hyperlink r:id="rId6">
        <w:r>
          <w:rPr>
            <w:rStyle w:val="Hyperlink"/>
            <w:rFonts w:ascii="Times New Roman" w:hAnsi="Times New Roman"/>
            <w:b w:val="false"/>
            <w:i w:val="false"/>
            <w:color w:val="000000"/>
            <w:sz w:val="22"/>
          </w:rPr>
          <w:t>2.13(2)</w:t>
        </w:r>
      </w:hyperlink>
      <w:r>
        <w:rPr>
          <w:rFonts w:ascii="Times New Roman" w:hAnsi="Times New Roman"/>
          <w:b w:val="false"/>
          <w:i/>
          <w:color w:val="000000"/>
          <w:sz w:val="22"/>
        </w:rPr>
        <w:t>“g,” “h,” “i,”</w:t>
      </w:r>
      <w:r>
        <w:rPr>
          <w:rFonts w:ascii="Times New Roman" w:hAnsi="Times New Roman"/>
          <w:b w:val="false"/>
          <w:i w:val="false"/>
          <w:color w:val="000000"/>
          <w:sz w:val="22"/>
        </w:rPr>
        <w:t xml:space="preserve"> or </w:t>
      </w:r>
      <w:r>
        <w:rPr>
          <w:rFonts w:ascii="Times New Roman" w:hAnsi="Times New Roman"/>
          <w:b w:val="false"/>
          <w:i/>
          <w:color w:val="000000"/>
          <w:sz w:val="22"/>
        </w:rPr>
        <w:t>“j.”</w:t>
      </w:r>
    </w:p>
    <w:p>
      <w:pPr>
        <w:spacing w:before="0" w:after="0" w:line="240"/>
        <w:ind w:left="120"/>
        <w:jc w:val="left"/>
      </w:pPr>
      <w:r>
        <w:rPr>
          <w:rFonts w:ascii="Times New Roman" w:hAnsi="Times New Roman"/>
          <w:b w:val="false"/>
          <w:i w:val="false"/>
          <w:color w:val="000000"/>
          <w:sz w:val="16"/>
        </w:rPr>
        <w:t>[</w:t>
      </w:r>
      <w:r>
        <w:rPr>
          <w:rFonts w:ascii="Times New Roman" w:hAnsi="Times New Roman"/>
          <w:b/>
          <w:i w:val="false"/>
          <w:color w:val="000000"/>
          <w:sz w:val="16"/>
        </w:rPr>
        <w:t>ARC 0273C</w:t>
      </w:r>
      <w:r>
        <w:rPr>
          <w:rFonts w:ascii="Times New Roman" w:hAnsi="Times New Roman"/>
          <w:b w:val="false"/>
          <w:i w:val="false"/>
          <w:color w:val="000000"/>
          <w:sz w:val="16"/>
        </w:rPr>
        <w:t>, IAB 8/8/12, effective 9/12/12</w:t>
      </w:r>
      <w:r>
        <w:rPr>
          <w:rFonts w:ascii="Times New Roman" w:hAnsi="Times New Roman"/>
          <w:b w:val="false"/>
          <w:i w:val="false"/>
          <w:color w:val="000000"/>
          <w:sz w:val="16"/>
        </w:rPr>
        <w:t>]</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4.pdf" Type="http://schemas.openxmlformats.org/officeDocument/2006/relationships/hyperlink" Id="rId4"/>
    <Relationship TargetMode="External" Target="https://www.legis.iowa.gov/docs/ico/chapter/17A.4.pdf" Type="http://schemas.openxmlformats.org/officeDocument/2006/relationships/hyperlink" Id="rId5"/>
    <Relationship TargetMode="External" Target="https://www.legis.iowa.gov/docs/iac/rule/185.2.13.pdf" Type="http://schemas.openxmlformats.org/officeDocument/2006/relationships/hyperlink" Id="rId6"/>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