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agency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4">
        <w:r>
          <w:rPr>
            <w:rStyle w:val="Hyperlink"/>
            <w:rFonts w:ascii="Times New Roman" w:hAnsi="Times New Roman"/>
            <w:b w:val="false"/>
            <w:i w:val="false"/>
            <w:color w:val="000000"/>
            <w:sz w:val="22"/>
          </w:rPr>
          <w:t>17A.4A(1)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5">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matter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agency may incorporate such matter by reference in a proposed or adopted rule only if the agency makes copies of it readily available to the public. The rule shall state how and where copies of the incorporated matter may be obtained at cost from this agency, and how and where copies may be obtained from the agency of the United States, this state, another state, or the organization, association, or persons, originally issuing that matter. The agency shall retain permanently a copy of any materials incorporated by reference in a rule of the agency.</w:t>
      </w:r>
    </w:p>
    <w:p>
      <w:pPr>
        <w:spacing w:before="0" w:after="0"/>
        <w:ind w:left="120"/>
        <w:jc w:val="both"/>
      </w:pPr>
      <w:r>
        <w:rPr>
          <w:rFonts w:ascii="Times New Roman" w:hAnsi="Times New Roman"/>
          <w:b w:val="false"/>
          <w:i w:val="false"/>
          <w:color w:val="000000"/>
          <w:sz w:val="22"/>
        </w:rPr>
        <w:t>If the agency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A.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