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185—19.9</w:t>
      </w:r>
      <w:r>
        <w:rPr>
          <w:rFonts w:ascii="Times New Roman" w:hAnsi="Times New Roman"/>
          <w:b/>
          <w:i w:val="false"/>
          <w:color w:val="000000"/>
          <w:sz w:val="22"/>
        </w:rPr>
        <w:t xml:space="preserve">(17A)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division issues an order granting a waiver, the order is a defense within its terms and the specific facts indicated therein for the person to whom the order pertains in any proceeding in which the rule in question is sought to be invoked.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