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185—19.7</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w:t>
      </w:r>
      <w:r>
        <w:rPr>
          <w:rFonts w:ascii="Times New Roman" w:hAnsi="Times New Roman"/>
          <w:b w:val="false"/>
          <w:i w:val="false"/>
          <w:color w:val="000000"/>
          <w:sz w:val="22"/>
        </w:rPr>
        <w:t>A waiver issued by the division pursuant to this chapter may be withdrawn, canceled, or modified if, after appropriate notice and hearing, the division issues an order finding any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request withheld or misrepresented material facts relevant to the propriety or desirability of the waiver;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