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185—19.3</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Requester’s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All petitions for a waiver must be submitted in writing to the Alcoholic Beverages Division, 1918 SE Hulsizer Road, Ankeny, Iowa 50021. If the petition relates to a pending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History of any prior contacts between the division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Information known to the requester regarding the division’s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division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division rule, the burden of persuasion shall be on the petitioner to demonstrate by clear and convincing evidence that the division should exercise its discretion in the granting of the waiver.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