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185—18.9</w:t>
      </w:r>
      <w:r>
        <w:rPr>
          <w:rFonts w:ascii="Times New Roman" w:hAnsi="Times New Roman"/>
          <w:b/>
          <w:i w:val="false"/>
          <w:color w:val="000000"/>
          <w:sz w:val="22"/>
        </w:rPr>
        <w:t xml:space="preserve">(123,22)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4">
        <w:r>
          <w:rPr>
            <w:rStyle w:val="Hyperlink"/>
            <w:rFonts w:ascii="Times New Roman" w:hAnsi="Times New Roman"/>
            <w:b w:val="false"/>
            <w:i w:val="false"/>
            <w:color w:val="000000"/>
            <w:sz w:val="22"/>
          </w:rPr>
          <w:t>rule 185—18.10(123,22)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5">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8.10.pdf" Type="http://schemas.openxmlformats.org/officeDocument/2006/relationships/hyperlink" Id="rId4"/>
    <Relationship TargetMode="External" Target="https://www.legis.iowa.gov/docs/ico/chapter/2A.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