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185—18.16</w:t>
      </w:r>
      <w:r>
        <w:rPr>
          <w:rFonts w:ascii="Times New Roman" w:hAnsi="Times New Roman"/>
          <w:b/>
          <w:i w:val="false"/>
          <w:color w:val="000000"/>
          <w:sz w:val="22"/>
        </w:rPr>
        <w:t xml:space="preserve">(123,22) </w:t>
      </w:r>
      <w:r>
        <w:rPr>
          <w:rFonts w:ascii="Times New Roman" w:hAnsi="Times New Roman"/>
          <w:b/>
          <w:i w:val="false"/>
          <w:color w:val="000000"/>
          <w:sz w:val="22"/>
        </w:rPr>
        <w:t xml:space="preserve">Other records. </w:t>
      </w:r>
      <w:r>
        <w:rPr>
          <w:rFonts w:ascii="Times New Roman" w:hAnsi="Times New Roman"/>
          <w:b w:val="false"/>
          <w:i w:val="false"/>
          <w:color w:val="000000"/>
          <w:sz w:val="22"/>
        </w:rPr>
        <w:t>The agency maintains a variety of records which do not generally contain information pertaining to named individuals. The agency maintains the following records, not heretofore listed, which do not generally contain personally identifiable information: inventory control reports, records of purchases by the agency from vendors, auditing data, budgetary information, reports of total licensing fees generated by class of licensee or permittee, reports of total number of licenses and permits issued, reports of total number of bottles sold or purchased, reports of gallons of alcoholic liquor sold or purchased, bills of lading, and manifests.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