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185—18.15</w:t>
      </w:r>
      <w:r>
        <w:rPr>
          <w:rFonts w:ascii="Times New Roman" w:hAnsi="Times New Roman"/>
          <w:b/>
          <w:i w:val="false"/>
          <w:color w:val="000000"/>
          <w:sz w:val="22"/>
        </w:rPr>
        <w:t xml:space="preserve">(123,22)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4">
        <w:r>
          <w:rPr>
            <w:rStyle w:val="Hyperlink"/>
            <w:rFonts w:ascii="Times New Roman" w:hAnsi="Times New Roman"/>
            <w:b w:val="false"/>
            <w:i w:val="false"/>
            <w:color w:val="000000"/>
            <w:sz w:val="22"/>
          </w:rPr>
          <w:t>rule 185—18.1(123,22)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w:t>
      </w:r>
      <w:hyperlink r:id="rId5">
        <w:r>
          <w:rPr>
            <w:rStyle w:val="Hyperlink"/>
            <w:rFonts w:ascii="Times New Roman" w:hAnsi="Times New Roman"/>
            <w:b w:val="false"/>
            <w:i w:val="false"/>
            <w:color w:val="000000"/>
            <w:sz w:val="22"/>
          </w:rPr>
          <w:t>rule 185—18.13(123,22)</w:t>
        </w:r>
      </w:hyperlink>
      <w:r>
        <w:rPr>
          <w:rFonts w:ascii="Times New Roman" w:hAnsi="Times New Roman"/>
          <w:b w:val="false"/>
          <w:i w:val="false"/>
          <w:color w:val="000000"/>
          <w:sz w:val="22"/>
        </w:rPr>
        <w:t>.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or proposed rules. This information is collected pursuant to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alcoholic beverages commission are available at the central offices of the alcoholic beverages division, except those records concerning closed sessions which are exempt from disclosure under Iowa Code section </w:t>
      </w:r>
      <w:hyperlink r:id="rId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Council and commission records contain information about people who participate in meetings. This information is collected pursuant to Iowa Code section </w:t>
      </w:r>
      <w:hyperlink r:id="rId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at the central offices of the alcoholic beverages division. Agency news releases, project reports, and newsletters may contain information about individuals, including agency staff or members of agency councils or committees.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and compilations. </w:t>
      </w:r>
      <w:r>
        <w:rPr>
          <w:rFonts w:ascii="Times New Roman" w:hAnsi="Times New Roman"/>
          <w:b w:val="false"/>
          <w:i w:val="false"/>
          <w:color w:val="000000"/>
          <w:sz w:val="22"/>
        </w:rPr>
        <w:t>Periodic reports of alcoholic liquor sales, statistics concerning statewide and regional consumption of liquor, wine, and beer, and lists of active and inactive licensees and permittees are available at the central offices of alcoholic beverages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18.15(5)</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 employees’ manual, containing the policies and procedures for programs administered by the agency, is available in every office of the agency. Subscriptions to all or part of the employees’ manual are available at the cost of production and handling. Requests for subscription information should be addressed to Chief, Licensing Bureau, Alcoholic Beverages Division, 1918 S.E. Hulsizer, Ankeny, Iowa 50021.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18.15(6)</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5.18.1.pdf" Type="http://schemas.openxmlformats.org/officeDocument/2006/relationships/hyperlink" Id="rId4"/>
    <Relationship TargetMode="External" Target="https://www.legis.iowa.gov/docs/iac/rule/185.18.13.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21.5.pdf" Type="http://schemas.openxmlformats.org/officeDocument/2006/relationships/hyperlink" Id="rId7"/>
    <Relationship TargetMode="External" Target="https://www.legis.iowa.gov/docs/ico/chapter/21.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