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185—18.14</w:t>
      </w:r>
      <w:r>
        <w:rPr>
          <w:rFonts w:ascii="Times New Roman" w:hAnsi="Times New Roman"/>
          <w:b/>
          <w:i w:val="false"/>
          <w:color w:val="000000"/>
          <w:sz w:val="22"/>
        </w:rPr>
        <w:t xml:space="preserve">(123,22)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rule 185—</w:t>
      </w:r>
      <w:hyperlink r:id="rId4">
        <w:r>
          <w:rPr>
            <w:rStyle w:val="Hyperlink"/>
            <w:rFonts w:ascii="Times New Roman" w:hAnsi="Times New Roman"/>
            <w:b w:val="false"/>
            <w:i w:val="false"/>
            <w:color w:val="000000"/>
            <w:sz w:val="22"/>
          </w:rPr>
          <w:t>18.1(123,22)</w:t>
        </w:r>
      </w:hyperlink>
      <w:r>
        <w:rPr>
          <w:rFonts w:ascii="Times New Roman" w:hAnsi="Times New Roman"/>
          <w:b w:val="false"/>
          <w:i w:val="false"/>
          <w:color w:val="000000"/>
          <w:sz w:val="22"/>
        </w:rPr>
        <w:t>.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w:t>
      </w:r>
      <w:r>
        <w:rPr>
          <w:rFonts w:ascii="Times New Roman" w:hAnsi="Times New Roman"/>
          <w:b w:val="false"/>
          <w:i w:val="false"/>
          <w:color w:val="000000"/>
          <w:sz w:val="22"/>
        </w:rPr>
        <w:t> </w:t>
      </w:r>
      <w:r>
        <w:rPr>
          <w:rFonts w:ascii="Times New Roman" w:hAnsi="Times New Roman"/>
          <w:b w:val="false"/>
          <w:i/>
          <w:color w:val="000000"/>
          <w:sz w:val="22"/>
        </w:rPr>
        <w:t xml:space="preserve">Licensing records. </w:t>
      </w:r>
      <w:r>
        <w:rPr>
          <w:rFonts w:ascii="Times New Roman" w:hAnsi="Times New Roman"/>
          <w:b w:val="false"/>
          <w:i w:val="false"/>
          <w:color w:val="000000"/>
          <w:sz w:val="22"/>
        </w:rPr>
        <w:t xml:space="preserve">Licensing records include, but are not limited to, information identifying ownership, location, form of business entity and statements concerning eligibility of applicants to hold retail alcohol licenses and permits. These records are collected and maintained pursuant to Iowa Code sections </w:t>
      </w:r>
      <w:hyperlink r:id="rId5">
        <w:r>
          <w:rPr>
            <w:rStyle w:val="Hyperlink"/>
            <w:rFonts w:ascii="Times New Roman" w:hAnsi="Times New Roman"/>
            <w:b w:val="false"/>
            <w:i w:val="false"/>
            <w:color w:val="000000"/>
            <w:sz w:val="22"/>
          </w:rPr>
          <w:t>123.23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123.29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123.42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123.124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123.125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123.127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123.135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123.173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123.175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123.176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123.180</w:t>
        </w:r>
      </w:hyperlink>
      <w:r>
        <w:rPr>
          <w:rFonts w:ascii="Times New Roman" w:hAnsi="Times New Roman"/>
          <w:b w:val="false"/>
          <w:i w:val="false"/>
          <w:color w:val="000000"/>
          <w:sz w:val="22"/>
        </w:rPr>
        <w:t>. Licensing records are stored on microfiche, in an automated data processing system, and in extant form. The information stored in the automated data system does not match, collate or permit comparison with other data processing systems. The information contained in licensing records is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1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u w:val="single"/>
        </w:rPr>
        <w:t> </w:t>
      </w:r>
      <w:hyperlink r:id="rId21">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123.50</w:t>
        </w:r>
      </w:hyperlink>
      <w:r>
        <w:rPr>
          <w:rFonts w:ascii="Times New Roman" w:hAnsi="Times New Roman"/>
          <w:b w:val="false"/>
          <w:i w:val="false"/>
          <w:color w:val="000000"/>
          <w:sz w:val="22"/>
        </w:rPr>
        <w:t>. Contested case matters are stored on microfiche, and in extant form. The information stored does not match, collate or permit comparison with other data processing systems. The information contained in contested case matters is public information. Contested case matters include all pleadings, motions, briefs, orders, transcripts, exhibits, and physical evidence utilized in the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18.14(3)</w:t>
      </w:r>
      <w:r>
        <w:rPr>
          <w:rFonts w:ascii="Times New Roman" w:hAnsi="Times New Roman"/>
          <w:b w:val="false"/>
          <w:i w:val="false"/>
          <w:color w:val="000000"/>
          <w:sz w:val="22"/>
        </w:rPr>
        <w:t> </w:t>
      </w:r>
      <w:r>
        <w:rPr>
          <w:rFonts w:ascii="Times New Roman" w:hAnsi="Times New Roman"/>
          <w:b w:val="false"/>
          <w:i/>
          <w:color w:val="000000"/>
          <w:sz w:val="22"/>
        </w:rPr>
        <w:t xml:space="preserve">Waivers of rule and declaratory rulings. </w:t>
      </w:r>
      <w:r>
        <w:rPr>
          <w:rFonts w:ascii="Times New Roman" w:hAnsi="Times New Roman"/>
          <w:b w:val="false"/>
          <w:i w:val="false"/>
          <w:color w:val="000000"/>
          <w:sz w:val="22"/>
        </w:rPr>
        <w:t xml:space="preserve">Waivers of rule and declaratory rulings may contain information which identifies individuals. These records are maintained pursuant to Iowa Code section </w:t>
      </w:r>
      <w:hyperlink r:id="rId26">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185—1.3</w:t>
        </w:r>
      </w:hyperlink>
      <w:r>
        <w:rPr>
          <w:rFonts w:ascii="Times New Roman" w:hAnsi="Times New Roman"/>
          <w:b w:val="false"/>
          <w:i w:val="false"/>
          <w:color w:val="000000"/>
          <w:sz w:val="22"/>
        </w:rPr>
        <w:t>(123,17A). Waivers of rule and declaratory rulings are stored on microfiche and in extant form. The method of storage does not match, collate or permit comparison with other data processing systems. The information contained in waivers of rule and declaratory rulings is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18.14(4)</w:t>
      </w:r>
      <w:r>
        <w:rPr>
          <w:rFonts w:ascii="Times New Roman" w:hAnsi="Times New Roman"/>
          <w:b w:val="false"/>
          <w:i w:val="false"/>
          <w:color w:val="000000"/>
          <w:sz w:val="22"/>
        </w:rPr>
        <w:t> </w:t>
      </w:r>
      <w:r>
        <w:rPr>
          <w:rFonts w:ascii="Times New Roman" w:hAnsi="Times New Roman"/>
          <w:b w:val="false"/>
          <w:i/>
          <w:color w:val="000000"/>
          <w:sz w:val="22"/>
        </w:rPr>
        <w:t xml:space="preserve">Purchase orders, invoices, account numbers and personal identification numbers. </w:t>
      </w:r>
      <w:r>
        <w:rPr>
          <w:rFonts w:ascii="Times New Roman" w:hAnsi="Times New Roman"/>
          <w:b w:val="false"/>
          <w:i w:val="false"/>
          <w:color w:val="000000"/>
          <w:sz w:val="22"/>
        </w:rPr>
        <w:t xml:space="preserve">Purchase orders and invoices include, but are not limited to, records of purchases of alcoholic liquor made by class “E” retail alcohol licensees from the agency and related shipping and transmittal documents. Account numbers and personal identification numbers identify individual class “E” retail alcohol licensees and provide the agency with a method of filling orders, shipping and obtaining payment for liquor from telephone orders by class “E” retail alcohol licensees. These records are collected and maintained pursuant to Iowa Code sections </w:t>
      </w:r>
      <w:hyperlink r:id="rId28">
        <w:r>
          <w:rPr>
            <w:rStyle w:val="Hyperlink"/>
            <w:rFonts w:ascii="Times New Roman" w:hAnsi="Times New Roman"/>
            <w:b w:val="false"/>
            <w:i w:val="false"/>
            <w:color w:val="000000"/>
            <w:sz w:val="22"/>
          </w:rPr>
          <w:t>123.16</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Purchase orders are stored in extant form and in automated data processing systems. The automated data processing systems used to store these records do not match, collate, or permit comparison with other data processing systems except to the extent that such records may be used by warehouse personnel for inventory control, movement of alcoholic liquor within the warehouse, and filling and shipping orders to class “E” retail alcohol licensees. The information contained in these records which identifies purchases made by individual class “E” retail alcohol licensees is confidential pursuant to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18.14(5)</w:t>
      </w:r>
      <w:r>
        <w:rPr>
          <w:rFonts w:ascii="Times New Roman" w:hAnsi="Times New Roman"/>
          <w:b w:val="false"/>
          <w:i w:val="false"/>
          <w:color w:val="000000"/>
          <w:sz w:val="22"/>
        </w:rPr>
        <w:t> </w:t>
      </w:r>
      <w:r>
        <w:rPr>
          <w:rFonts w:ascii="Times New Roman" w:hAnsi="Times New Roman"/>
          <w:b w:val="false"/>
          <w:i/>
          <w:color w:val="000000"/>
          <w:sz w:val="22"/>
        </w:rPr>
        <w:t xml:space="preserve">Bailment shipments. </w:t>
      </w:r>
      <w:r>
        <w:rPr>
          <w:rFonts w:ascii="Times New Roman" w:hAnsi="Times New Roman"/>
          <w:b w:val="false"/>
          <w:i w:val="false"/>
          <w:color w:val="000000"/>
          <w:sz w:val="22"/>
        </w:rPr>
        <w:t xml:space="preserve">Records of bailment shipments include, but are not limited to, information derived from suppliers concerning shipments of alcoholic liquor into the state warehouse facility, information generated internally concerning alcoholic liquor received from suppliers, information generated by the agency for accounting purposes concerning liquor purchases from suppliers, and information generated by the agency for purposes of inventory control. Records of bailment shipments may contain personally identifiable information on class “E” retail alcohol licensees, and to the extent that such record contains information on purchases of liquor by individual class “E” retail alcohol licensees, the record is confidential. These records are collected and maintained pursuant to Iowa Code section </w:t>
      </w:r>
      <w:hyperlink r:id="rId32">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Records of bailment shipments are stored in extant form and in automated data processing systems. The method of storage does not match, collate, or permit comparison with other data processing systems, except that comparisons may be made for purposes of agency tracking or auditing liquor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18.14(6)</w:t>
      </w:r>
      <w:r>
        <w:rPr>
          <w:rFonts w:ascii="Times New Roman" w:hAnsi="Times New Roman"/>
          <w:b w:val="false"/>
          <w:i w:val="false"/>
          <w:color w:val="000000"/>
          <w:sz w:val="22"/>
        </w:rPr>
        <w:t> </w:t>
      </w:r>
      <w:r>
        <w:rPr>
          <w:rFonts w:ascii="Times New Roman" w:hAnsi="Times New Roman"/>
          <w:b w:val="false"/>
          <w:i/>
          <w:color w:val="000000"/>
          <w:sz w:val="22"/>
        </w:rPr>
        <w:t xml:space="preserve">Nonliquor related vendors. </w:t>
      </w:r>
      <w:r>
        <w:rPr>
          <w:rFonts w:ascii="Times New Roman" w:hAnsi="Times New Roman"/>
          <w:b w:val="false"/>
          <w:i w:val="false"/>
          <w:color w:val="000000"/>
          <w:sz w:val="22"/>
        </w:rPr>
        <w:t xml:space="preserve">Nonliquor related vendors include, but are not limited to, records of purchases of office supplies, warehouse supplies, trucks, trucking equipment and repairs, used in the internal operation of the agency. These records may contain personally identifiable information, and are collected and maintained pursuant to Iowa Code section </w:t>
      </w:r>
      <w:hyperlink r:id="rId33">
        <w:r>
          <w:rPr>
            <w:rStyle w:val="Hyperlink"/>
            <w:rFonts w:ascii="Times New Roman" w:hAnsi="Times New Roman"/>
            <w:b w:val="false"/>
            <w:i w:val="false"/>
            <w:color w:val="000000"/>
            <w:sz w:val="22"/>
          </w:rPr>
          <w:t>123.20</w:t>
        </w:r>
      </w:hyperlink>
      <w:r>
        <w:rPr>
          <w:rFonts w:ascii="Times New Roman" w:hAnsi="Times New Roman"/>
          <w:b w:val="false"/>
          <w:i w:val="false"/>
          <w:color w:val="000000"/>
          <w:sz w:val="22"/>
        </w:rPr>
        <w:t>. The information contained in these records is public information. These records are stored in extant form, and do not match, collate or permit comparison with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18.14(7)</w:t>
      </w:r>
      <w:r>
        <w:rPr>
          <w:rFonts w:ascii="Times New Roman" w:hAnsi="Times New Roman"/>
          <w:b w:val="false"/>
          <w:i w:val="false"/>
          <w:color w:val="000000"/>
          <w:sz w:val="22"/>
        </w:rPr>
        <w:t> </w:t>
      </w:r>
      <w:r>
        <w:rPr>
          <w:rFonts w:ascii="Times New Roman" w:hAnsi="Times New Roman"/>
          <w:b w:val="false"/>
          <w:i/>
          <w:color w:val="000000"/>
          <w:sz w:val="22"/>
        </w:rPr>
        <w:t xml:space="preserve">Leases. </w:t>
      </w:r>
      <w:r>
        <w:rPr>
          <w:rFonts w:ascii="Times New Roman" w:hAnsi="Times New Roman"/>
          <w:b w:val="false"/>
          <w:i w:val="false"/>
          <w:color w:val="000000"/>
          <w:sz w:val="22"/>
        </w:rPr>
        <w:t xml:space="preserve">Leases include records related to agency subleasing of former state liquor stores, the names and addresses of sublessees and landlords, and information concerning the buildings. This information is collected and maintained pursuant to Iowa Code section </w:t>
      </w:r>
      <w:hyperlink r:id="rId34">
        <w:r>
          <w:rPr>
            <w:rStyle w:val="Hyperlink"/>
            <w:rFonts w:ascii="Times New Roman" w:hAnsi="Times New Roman"/>
            <w:b w:val="false"/>
            <w:i w:val="false"/>
            <w:color w:val="000000"/>
            <w:sz w:val="22"/>
          </w:rPr>
          <w:t>123.20</w:t>
        </w:r>
      </w:hyperlink>
      <w:r>
        <w:rPr>
          <w:rFonts w:ascii="Times New Roman" w:hAnsi="Times New Roman"/>
          <w:b w:val="false"/>
          <w:i w:val="false"/>
          <w:color w:val="000000"/>
          <w:sz w:val="22"/>
        </w:rPr>
        <w:t>, and is public information. The records are stored in extant form and do not match, collate or permit comparison with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18.14(8)</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audits of licensees’ books and records. </w:t>
      </w:r>
      <w:r>
        <w:rPr>
          <w:rFonts w:ascii="Times New Roman" w:hAnsi="Times New Roman"/>
          <w:b w:val="false"/>
          <w:i w:val="false"/>
          <w:color w:val="000000"/>
          <w:sz w:val="22"/>
        </w:rPr>
        <w:t xml:space="preserve">Inspections and audits of licensees’ books and records contain personally identifiable information relating to the operation of licensed establishments and beer and wine wholesalers’ operations. These records are collected and maintained pursuant to Iowa Code sections </w:t>
      </w:r>
      <w:hyperlink r:id="rId35">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123.138</w:t>
        </w:r>
      </w:hyperlink>
      <w:r>
        <w:rPr>
          <w:rFonts w:ascii="Times New Roman" w:hAnsi="Times New Roman"/>
          <w:b w:val="false"/>
          <w:i w:val="false"/>
          <w:color w:val="000000"/>
          <w:sz w:val="22"/>
        </w:rPr>
        <w:t>. These records are stored in extant form, and the manner of storage does not permit comparison with automated data processing systems. The information is public information, except to the extent that the records concerning purchases of liquor made by class “E” retail alcohol licensees from the agency are confidential. To the extent that these records may be used in anticipation of formal administrative proceedings, criminal or civil proceedings against a licensee or permittee, this chapter does not apply to these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18.14(9)</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18.14(10)</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3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8.1.pdf" Type="http://schemas.openxmlformats.org/officeDocument/2006/relationships/hyperlink" Id="rId4"/>
    <Relationship TargetMode="External" Target="https://www.legis.iowa.gov/docs/ico/chapter/123.23.pdf" Type="http://schemas.openxmlformats.org/officeDocument/2006/relationships/hyperlink" Id="rId5"/>
    <Relationship TargetMode="External" Target="https://www.legis.iowa.gov/docs/ico/chapter/123.29.pdf" Type="http://schemas.openxmlformats.org/officeDocument/2006/relationships/hyperlink" Id="rId6"/>
    <Relationship TargetMode="External" Target="https://www.legis.iowa.gov/docs/ico/chapter/123.30.pdf" Type="http://schemas.openxmlformats.org/officeDocument/2006/relationships/hyperlink" Id="rId7"/>
    <Relationship TargetMode="External" Target="https://www.legis.iowa.gov/docs/ico/chapter/123.33.pdf" Type="http://schemas.openxmlformats.org/officeDocument/2006/relationships/hyperlink" Id="rId8"/>
    <Relationship TargetMode="External" Target="https://www.legis.iowa.gov/docs/ico/chapter/123.42.pdf" Type="http://schemas.openxmlformats.org/officeDocument/2006/relationships/hyperlink" Id="rId9"/>
    <Relationship TargetMode="External" Target="https://www.legis.iowa.gov/docs/ico/chapter/123.49.pdf" Type="http://schemas.openxmlformats.org/officeDocument/2006/relationships/hyperlink" Id="rId10"/>
    <Relationship TargetMode="External" Target="https://www.legis.iowa.gov/docs/ico/chapter/123.124.pdf" Type="http://schemas.openxmlformats.org/officeDocument/2006/relationships/hyperlink" Id="rId11"/>
    <Relationship TargetMode="External" Target="https://www.legis.iowa.gov/docs/ico/chapter/123.125.pdf" Type="http://schemas.openxmlformats.org/officeDocument/2006/relationships/hyperlink" Id="rId12"/>
    <Relationship TargetMode="External" Target="https://www.legis.iowa.gov/docs/ico/chapter/123.127.pdf" Type="http://schemas.openxmlformats.org/officeDocument/2006/relationships/hyperlink" Id="rId13"/>
    <Relationship TargetMode="External" Target="https://www.legis.iowa.gov/docs/ico/chapter/123.135.pdf" Type="http://schemas.openxmlformats.org/officeDocument/2006/relationships/hyperlink" Id="rId14"/>
    <Relationship TargetMode="External" Target="https://www.legis.iowa.gov/docs/ico/chapter/123.173.pdf" Type="http://schemas.openxmlformats.org/officeDocument/2006/relationships/hyperlink" Id="rId15"/>
    <Relationship TargetMode="External" Target="https://www.legis.iowa.gov/docs/ico/chapter/123.175.pdf" Type="http://schemas.openxmlformats.org/officeDocument/2006/relationships/hyperlink" Id="rId16"/>
    <Relationship TargetMode="External" Target="https://www.legis.iowa.gov/docs/ico/chapter/123.176.pdf" Type="http://schemas.openxmlformats.org/officeDocument/2006/relationships/hyperlink" Id="rId17"/>
    <Relationship TargetMode="External" Target="https://www.legis.iowa.gov/docs/ico/chapter/123.180.pdf" Type="http://schemas.openxmlformats.org/officeDocument/2006/relationships/hyperlink" Id="rId18"/>
    <Relationship TargetMode="External" Target="https://www.legis.iowa.gov/docs/ico/chapter/17A.12.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17A.3.pdf" Type="http://schemas.openxmlformats.org/officeDocument/2006/relationships/hyperlink" Id="rId21"/>
    <Relationship TargetMode="External" Target="https://www.legis.iowa.gov/docs/ico/chapter/123.24.pdf" Type="http://schemas.openxmlformats.org/officeDocument/2006/relationships/hyperlink" Id="rId22"/>
    <Relationship TargetMode="External" Target="https://www.legis.iowa.gov/docs/ico/chapter/123.39.pdf" Type="http://schemas.openxmlformats.org/officeDocument/2006/relationships/hyperlink" Id="rId23"/>
    <Relationship TargetMode="External" Target="https://www.legis.iowa.gov/docs/ico/chapter/123.49.pdf" Type="http://schemas.openxmlformats.org/officeDocument/2006/relationships/hyperlink" Id="rId24"/>
    <Relationship TargetMode="External" Target="https://www.legis.iowa.gov/docs/ico/chapter/123.50.pdf" Type="http://schemas.openxmlformats.org/officeDocument/2006/relationships/hyperlink" Id="rId25"/>
    <Relationship TargetMode="External" Target="https://www.legis.iowa.gov/docs/ico/chapter/17A.9.pdf" Type="http://schemas.openxmlformats.org/officeDocument/2006/relationships/hyperlink" Id="rId26"/>
    <Relationship TargetMode="External" Target="https://www.legis.iowa.gov/docs/iac/rule/185.1.3.pdf" Type="http://schemas.openxmlformats.org/officeDocument/2006/relationships/hyperlink" Id="rId27"/>
    <Relationship TargetMode="External" Target="https://www.legis.iowa.gov/docs/ico/chapter/123.16.pdf" Type="http://schemas.openxmlformats.org/officeDocument/2006/relationships/hyperlink" Id="rId28"/>
    <Relationship TargetMode="External" Target="https://www.legis.iowa.gov/docs/ico/chapter/123.24.pdf" Type="http://schemas.openxmlformats.org/officeDocument/2006/relationships/hyperlink" Id="rId29"/>
    <Relationship TargetMode="External" Target="https://www.legis.iowa.gov/docs/ico/chapter/123.30.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123.30.pdf" Type="http://schemas.openxmlformats.org/officeDocument/2006/relationships/hyperlink" Id="rId32"/>
    <Relationship TargetMode="External" Target="https://www.legis.iowa.gov/docs/ico/chapter/123.20.pdf" Type="http://schemas.openxmlformats.org/officeDocument/2006/relationships/hyperlink" Id="rId33"/>
    <Relationship TargetMode="External" Target="https://www.legis.iowa.gov/docs/ico/chapter/123.20.pdf" Type="http://schemas.openxmlformats.org/officeDocument/2006/relationships/hyperlink" Id="rId34"/>
    <Relationship TargetMode="External" Target="https://www.legis.iowa.gov/docs/ico/chapter/123.33.pdf" Type="http://schemas.openxmlformats.org/officeDocument/2006/relationships/hyperlink" Id="rId35"/>
    <Relationship TargetMode="External" Target="https://www.legis.iowa.gov/docs/ico/chapter/123.138.pdf" Type="http://schemas.openxmlformats.org/officeDocument/2006/relationships/hyperlink" Id="rId36"/>
    <Relationship TargetMode="External" Target="https://www.legis.iowa.gov/docs/ico/chapter/22.7.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