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185—18.11</w:t>
      </w:r>
      <w:r>
        <w:rPr>
          <w:rFonts w:ascii="Times New Roman" w:hAnsi="Times New Roman"/>
          <w:b/>
          <w:i w:val="false"/>
          <w:color w:val="000000"/>
          <w:sz w:val="22"/>
        </w:rPr>
        <w:t xml:space="preserve">(123,22) </w:t>
      </w:r>
      <w:r>
        <w:rPr>
          <w:rFonts w:ascii="Times New Roman" w:hAnsi="Times New Roman"/>
          <w:b/>
          <w:i w:val="false"/>
          <w:color w:val="000000"/>
          <w:sz w:val="22"/>
        </w:rPr>
        <w:t xml:space="preserve">Consensual disclosure of confidential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18.11(1)</w:t>
      </w:r>
      <w:r>
        <w:rPr>
          <w:rFonts w:ascii="Times New Roman" w:hAnsi="Times New Roman"/>
          <w:b w:val="false"/>
          <w:i w:val="false"/>
          <w:color w:val="000000"/>
          <w:sz w:val="22"/>
        </w:rPr>
        <w:t> </w:t>
      </w:r>
      <w:r>
        <w:rPr>
          <w:rFonts w:ascii="Times New Roman" w:hAnsi="Times New Roman"/>
          <w:b w:val="false"/>
          <w:i/>
          <w:color w:val="000000"/>
          <w:sz w:val="22"/>
        </w:rPr>
        <w:t xml:space="preserve">Consent to disclosure by a subject individual. </w:t>
      </w:r>
      <w:r>
        <w:rPr>
          <w:rFonts w:ascii="Times New Roman" w:hAnsi="Times New Roman"/>
          <w:b w:val="false"/>
          <w:i w:val="false"/>
          <w:color w:val="000000"/>
          <w:sz w:val="22"/>
        </w:rPr>
        <w:t xml:space="preserve">To the extent permitted by law, the subject may consent in writing to agency disclosure of confidential records as provided in rule </w:t>
      </w:r>
      <w:hyperlink r:id="rId4">
        <w:r>
          <w:rPr>
            <w:rStyle w:val="Hyperlink"/>
            <w:rFonts w:ascii="Times New Roman" w:hAnsi="Times New Roman"/>
            <w:b w:val="false"/>
            <w:i w:val="false"/>
            <w:color w:val="000000"/>
            <w:sz w:val="22"/>
          </w:rPr>
          <w:t>185—18.7(123,22)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18.11(2)</w:t>
      </w:r>
      <w:r>
        <w:rPr>
          <w:rFonts w:ascii="Times New Roman" w:hAnsi="Times New Roman"/>
          <w:b w:val="false"/>
          <w:i w:val="false"/>
          <w:color w:val="000000"/>
          <w:sz w:val="22"/>
        </w:rPr>
        <w:t> </w:t>
      </w:r>
      <w:r>
        <w:rPr>
          <w:rFonts w:ascii="Times New Roman" w:hAnsi="Times New Roman"/>
          <w:b w:val="false"/>
          <w:i/>
          <w:color w:val="000000"/>
          <w:sz w:val="22"/>
        </w:rPr>
        <w:t xml:space="preserve">Complaints to public officials. </w:t>
      </w:r>
      <w:r>
        <w:rPr>
          <w:rFonts w:ascii="Times New Roman" w:hAnsi="Times New Roman"/>
          <w:b w:val="false"/>
          <w:i w:val="false"/>
          <w:color w:val="000000"/>
          <w:sz w:val="22"/>
        </w:rPr>
        <w:t>A letter from a subject of a confidential record to a public official which seeks the official’s intervention on behalf of the subject in a matter that involves the agency may, to the extent permitted by law, be treated as an authorization to release sufficient information about the subject to the official to resolve the matter.</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185.18.7.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