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185—18.10</w:t>
      </w:r>
      <w:r>
        <w:rPr>
          <w:rFonts w:ascii="Times New Roman" w:hAnsi="Times New Roman"/>
          <w:b/>
          <w:i w:val="false"/>
          <w:color w:val="000000"/>
          <w:sz w:val="22"/>
        </w:rPr>
        <w:t xml:space="preserve">(123,22)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following records are routinely disseminated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maintained concerning ownership and location of establishments licensed under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on licensees’ dramshop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concerning the status of contested case matters in which disciplinary action has been taken against a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maintained identifying the names of distillers, vintners, and brewers, their employees, agents, representatives, and designated wholesalers.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the name and address of a licensee’s, permittee’s, wholesaler’s, or certificate of compliance holder’s registered agent for service of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agency which identifies the names, addresses and telephone numbers of board members of organizations of interest to licensees and permittees.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identifying the names and addresses of nonliquor related vendors (i.e., landlords) and the names and addresses of the agency’s sublessees.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12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