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185—14.8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Rescinded, effective July 1, 1986.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