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185—14.5</w:t>
      </w:r>
      <w:r>
        <w:rPr>
          <w:rFonts w:ascii="Times New Roman" w:hAnsi="Times New Roman"/>
          <w:b/>
          <w:i w:val="false"/>
          <w:color w:val="000000"/>
          <w:sz w:val="22"/>
        </w:rPr>
        <w:t xml:space="preserve">(123) </w:t>
      </w:r>
      <w:r>
        <w:rPr>
          <w:rFonts w:ascii="Times New Roman" w:hAnsi="Times New Roman"/>
          <w:b/>
          <w:i w:val="false"/>
          <w:color w:val="000000"/>
          <w:sz w:val="22"/>
        </w:rPr>
        <w:t xml:space="preserve">Price postings. </w:t>
      </w:r>
      <w:r>
        <w:rPr>
          <w:rFonts w:ascii="Times New Roman" w:hAnsi="Times New Roman"/>
          <w:b w:val="false"/>
          <w:i w:val="false"/>
          <w:color w:val="000000"/>
          <w:sz w:val="22"/>
        </w:rPr>
        <w:t>Price postings will be required on all prices charged in sales between Class “A” wine permitholders and Class “B” permitholders. These price postings will contain the most current prices and will be submitted in the format as determined by the division. Frequency of submission will be monthly, commencing July 31, 1985, and each month thereafter as changes occur. The division will post a list of the most current price of wines it lists in a conspicuous place in the agency’s central office and in all state liquor stores. Price postings from both the Class “A” wine permitholder and the division will be consolidated in a master price list each month. This information will be made available to all interested parties.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 subsection 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3.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