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185—14.2</w:t>
      </w:r>
      <w:r>
        <w:rPr>
          <w:rFonts w:ascii="Times New Roman" w:hAnsi="Times New Roman"/>
          <w:b/>
          <w:i w:val="false"/>
          <w:color w:val="000000"/>
          <w:sz w:val="22"/>
        </w:rPr>
        <w:t xml:space="preserve">(123) </w:t>
      </w:r>
      <w:r>
        <w:rPr>
          <w:rFonts w:ascii="Times New Roman" w:hAnsi="Times New Roman"/>
          <w:b/>
          <w:i w:val="false"/>
          <w:color w:val="000000"/>
          <w:sz w:val="22"/>
        </w:rPr>
        <w:t xml:space="preserve">Bottle label requirements and registration. </w:t>
      </w:r>
      <w:r>
        <w:rPr>
          <w:rFonts w:ascii="Times New Roman" w:hAnsi="Times New Roman"/>
          <w:b w:val="false"/>
          <w:i w:val="false"/>
          <w:color w:val="000000"/>
          <w:sz w:val="22"/>
        </w:rPr>
        <w:t>All holders of a vintner’s certificate of compliance must register with the division the labels on all wines they wish to distribute for sale in the state. Applications for label approval will be in letter form and will include a copy of the approved ATF Form 1649, along with the front and back label of the brand for which approval is being requested. No additional approval is required on size extensions unless there is a label change. No wines will be distributed for sales without prior label approval from the division. Requests for approval will be submitted to: The Alcoholic Beverages Division, 1918 S.E. Hulsizer, Ankeny, Iowa 50021, Attn: Products Division.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123.21</w:t>
        </w:r>
      </w:hyperlink>
      <w:r>
        <w:rPr>
          <w:rFonts w:ascii="Times New Roman" w:hAnsi="Times New Roman"/>
          <w:b w:val="false"/>
          <w:i w:val="false"/>
          <w:color w:val="000000"/>
          <w:sz w:val="22"/>
        </w:rPr>
        <w:t>, subsection 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3.2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