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185—14.1</w:t>
      </w:r>
      <w:r>
        <w:rPr>
          <w:rFonts w:ascii="Times New Roman" w:hAnsi="Times New Roman"/>
          <w:b/>
          <w:i w:val="false"/>
          <w:color w:val="000000"/>
          <w:sz w:val="22"/>
        </w:rPr>
        <w:t xml:space="preserve">(123) </w:t>
      </w:r>
      <w:r>
        <w:rPr>
          <w:rFonts w:ascii="Times New Roman" w:hAnsi="Times New Roman"/>
          <w:b/>
          <w:i w:val="false"/>
          <w:color w:val="000000"/>
          <w:sz w:val="22"/>
        </w:rPr>
        <w:t xml:space="preserve">Wine definition. </w:t>
      </w:r>
      <w:r>
        <w:rPr>
          <w:rFonts w:ascii="Times New Roman" w:hAnsi="Times New Roman"/>
          <w:b w:val="false"/>
          <w:i w:val="false"/>
          <w:color w:val="000000"/>
          <w:sz w:val="22"/>
        </w:rPr>
        <w:t>Wine means any beverage containing more than 5 percent, but not more than 17 percent, of alcohol by weight obtained by the fermentation of the natural sugar content of fruits or other agricultural products by excluding any product containing alcohol derived from malt or by the distillation process from grain cereal, molasses, or cactus. Any wines obtained by the process defined herein that contain more than 17 percent of alcohol by weight will be considered an alcoholic liquor.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123.3(37)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3.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