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precluded by law, the parties in a contested case proceeding may waive any provision of this chapter. However, the agency in its discretion may refuse to give effect to such a waiver when it deems the waiver to be inconsistent with the public interest.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