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185—10.5</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a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Any person claiming an entitlement to a contested case proceeding shall file a written request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