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185—10.29</w:t>
      </w:r>
      <w:r>
        <w:rPr>
          <w:rFonts w:ascii="Times New Roman" w:hAnsi="Times New Roman"/>
          <w:b/>
          <w:i w:val="false"/>
          <w:color w:val="000000"/>
          <w:sz w:val="22"/>
        </w:rPr>
        <w:t xml:space="preserve">(17A) </w:t>
      </w:r>
      <w:r>
        <w:rPr>
          <w:rFonts w:ascii="Times New Roman" w:hAnsi="Times New Roman"/>
          <w:b/>
          <w:i w:val="false"/>
          <w:color w:val="000000"/>
          <w:sz w:val="22"/>
        </w:rPr>
        <w:t xml:space="preserve">Stays of agency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Agency appeal. Any party to a contested case proceeding may petition the division for a stay of an order issued in that proceeding or for other temporary remedies, pending review by the division. The petition shall be filed with the notice of appeal and shall state the reasons justifying a stay or other temporary remedy. The administrator may rule on the stay or authorize the presiding officer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Stay or temporary remedy. Any party to a contested case proceeding may petition the division for a stay or other temporary remedies pending judicial review of all or part of that proceeding. The petition shall state the reasons justifying a stay or other temporary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In determining whether to grant a stay, the administrator shall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applicant is likely to prevail when the court finally disposes of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applicant will suffer irreparable injury if relief is not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extent to which the grant of relief to the applicant will substantially harm other parties to the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public interest relied on by the agency is sufficient to justify the agency’s action in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of the division or any other party.</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5392C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