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color w:val="000000"/>
          <w:sz w:val="22"/>
        </w:rPr>
        <w:t xml:space="preserve">Administrator’s final decision. </w:t>
      </w:r>
      <w:r>
        <w:rPr>
          <w:rFonts w:ascii="Times New Roman" w:hAnsi="Times New Roman"/>
          <w:b w:val="false"/>
          <w:i w:val="false"/>
          <w:color w:val="000000"/>
          <w:sz w:val="22"/>
        </w:rPr>
        <w:t>When the administrator presides over the reception of evidence at the hearing, the administrator’s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 xml:space="preserve">When the administrator does not preside at the reception of evidence, the presiding officer shall make a proposed decision. The proposed decision becomes the final decision of the agency without further proceedings unless there is an appeal to, or review on motion of, the administrator within the time provided in </w:t>
      </w:r>
      <w:hyperlink r:id="rId4">
        <w:r>
          <w:rPr>
            <w:rStyle w:val="Hyperlink"/>
            <w:rFonts w:ascii="Times New Roman" w:hAnsi="Times New Roman"/>
            <w:b w:val="false"/>
            <w:i w:val="false"/>
            <w:color w:val="000000"/>
            <w:sz w:val="22"/>
          </w:rPr>
          <w:t>rule 185—10.27(17A)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0.2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