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 xml:space="preserve">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division or seeking the advice or help of persons other than those with a personal interest in, or those engaged in personally investigating as defined in </w:t>
      </w:r>
      <w:hyperlink r:id="rId4">
        <w:r>
          <w:rPr>
            <w:rStyle w:val="Hyperlink"/>
            <w:rFonts w:ascii="Times New Roman" w:hAnsi="Times New Roman"/>
            <w:b w:val="false"/>
            <w:i w:val="false"/>
            <w:color w:val="000000"/>
            <w:sz w:val="22"/>
          </w:rPr>
          <w:t>subrule 10.10(2)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Length of prohibitions.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Forms of ex parte communication.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w:t>
      </w:r>
      <w:hyperlink r:id="rId5">
        <w:r>
          <w:rPr>
            <w:rStyle w:val="Hyperlink"/>
            <w:rFonts w:ascii="Times New Roman" w:hAnsi="Times New Roman"/>
            <w:b w:val="false"/>
            <w:i w:val="false"/>
            <w:color w:val="000000"/>
            <w:sz w:val="22"/>
          </w:rPr>
          <w:t>rule 185—10.13(17A)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w:t>
      </w:r>
      <w:r>
        <w:rPr>
          <w:rFonts w:ascii="Times New Roman" w:hAnsi="Times New Roman"/>
          <w:b w:val="false"/>
          <w:i w:val="false"/>
          <w:color w:val="000000"/>
          <w:sz w:val="22"/>
        </w:rPr>
        <w:t> </w:t>
      </w:r>
      <w:r>
        <w:rPr>
          <w:rFonts w:ascii="Times New Roman" w:hAnsi="Times New Roman"/>
          <w:b w:val="false"/>
          <w:i/>
          <w:color w:val="000000"/>
          <w:sz w:val="22"/>
        </w:rPr>
        <w:t xml:space="preserve">Communication between presiding officers.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10.23(6)</w:t>
      </w:r>
      <w:r>
        <w:rPr>
          <w:rFonts w:ascii="Times New Roman" w:hAnsi="Times New Roman"/>
          <w:b w:val="false"/>
          <w:i w:val="false"/>
          <w:color w:val="000000"/>
          <w:sz w:val="22"/>
        </w:rPr>
        <w:t> </w:t>
      </w:r>
      <w:r>
        <w:rPr>
          <w:rFonts w:ascii="Times New Roman" w:hAnsi="Times New Roman"/>
          <w:b w:val="false"/>
          <w:i/>
          <w:color w:val="000000"/>
          <w:sz w:val="22"/>
        </w:rPr>
        <w:t xml:space="preserve">Deliberations. </w:t>
      </w:r>
      <w:r>
        <w:rPr>
          <w:rFonts w:ascii="Times New Roman" w:hAnsi="Times New Roman"/>
          <w:b w:val="false"/>
          <w:i w:val="false"/>
          <w:color w:val="000000"/>
          <w:sz w:val="22"/>
        </w:rPr>
        <w:t xml:space="preserve">The administrator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6">
        <w:r>
          <w:rPr>
            <w:rStyle w:val="Hyperlink"/>
            <w:rFonts w:ascii="Times New Roman" w:hAnsi="Times New Roman"/>
            <w:b w:val="false"/>
            <w:i w:val="false"/>
            <w:color w:val="000000"/>
            <w:sz w:val="22"/>
          </w:rPr>
          <w:t>subrule 10.23(1)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w:t>
      </w:r>
      <w:r>
        <w:rPr>
          <w:rFonts w:ascii="Times New Roman" w:hAnsi="Times New Roman"/>
          <w:b w:val="false"/>
          <w:i w:val="false"/>
          <w:color w:val="000000"/>
          <w:sz w:val="22"/>
        </w:rPr>
        <w:t> </w:t>
      </w:r>
      <w:r>
        <w:rPr>
          <w:rFonts w:ascii="Times New Roman" w:hAnsi="Times New Roman"/>
          <w:b w:val="false"/>
          <w:i/>
          <w:color w:val="000000"/>
          <w:sz w:val="22"/>
        </w:rPr>
        <w:t xml:space="preserve">Scheduling or procedural matters.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w:t>
      </w:r>
      <w:hyperlink r:id="rId7">
        <w:r>
          <w:rPr>
            <w:rStyle w:val="Hyperlink"/>
            <w:rFonts w:ascii="Times New Roman" w:hAnsi="Times New Roman"/>
            <w:b w:val="false"/>
            <w:i w:val="false"/>
            <w:color w:val="000000"/>
            <w:sz w:val="22"/>
          </w:rPr>
          <w:t>rule 185—10.17(17A)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10.23(8)</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presiding officer.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10.23(9)</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division. Violation of ex parte communication prohibitions by division personnel shall be reported to the administrator or the administrator’s designee for possible sanctions including censure, suspension, dismissal, or other disciplinary 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0.10.pdf" Type="http://schemas.openxmlformats.org/officeDocument/2006/relationships/hyperlink" Id="rId4"/>
    <Relationship TargetMode="External" Target="https://www.legis.iowa.gov/docs/iac/rule/185.10.13.pdf" Type="http://schemas.openxmlformats.org/officeDocument/2006/relationships/hyperlink" Id="rId5"/>
    <Relationship TargetMode="External" Target="https://www.legis.iowa.gov/docs/iac/rule/185.10.23.pdf" Type="http://schemas.openxmlformats.org/officeDocument/2006/relationships/hyperlink" Id="rId6"/>
    <Relationship TargetMode="External" Target="https://www.legis.iowa.gov/docs/iac/rule/185.10.17.pdf" Type="http://schemas.openxmlformats.org/officeDocument/2006/relationships/hyperlink" Id="rId7"/>
    <Relationship TargetMode="External" Target="https://www.legis.iowa.gov/docs/ico/chapter/17A.1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