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Motion for default.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color w:val="000000"/>
          <w:sz w:val="22"/>
        </w:rPr>
        <w:t xml:space="preserve">Motion to vacate.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w:t>
      </w:r>
      <w:hyperlink r:id="rId4">
        <w:r>
          <w:rPr>
            <w:rStyle w:val="Hyperlink"/>
            <w:rFonts w:ascii="Times New Roman" w:hAnsi="Times New Roman"/>
            <w:b w:val="false"/>
            <w:i w:val="false"/>
            <w:color w:val="000000"/>
            <w:sz w:val="22"/>
          </w:rPr>
          <w:t>rule 185—10.27(17A)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w:t>
      </w:r>
      <w:r>
        <w:rPr>
          <w:rFonts w:ascii="Times New Roman" w:hAnsi="Times New Roman"/>
          <w:b w:val="false"/>
          <w:i w:val="false"/>
          <w:color w:val="000000"/>
          <w:sz w:val="22"/>
        </w:rPr>
        <w:t> </w:t>
      </w:r>
      <w:r>
        <w:rPr>
          <w:rFonts w:ascii="Times New Roman" w:hAnsi="Times New Roman"/>
          <w:b w:val="false"/>
          <w:i/>
          <w:color w:val="000000"/>
          <w:sz w:val="22"/>
        </w:rPr>
        <w:t xml:space="preserve">Good cause showing.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w:t>
      </w:r>
      <w:r>
        <w:rPr>
          <w:rFonts w:ascii="Times New Roman" w:hAnsi="Times New Roman"/>
          <w:b w:val="false"/>
          <w:i w:val="false"/>
          <w:color w:val="000000"/>
          <w:sz w:val="22"/>
        </w:rPr>
        <w:t> </w:t>
      </w:r>
      <w:r>
        <w:rPr>
          <w:rFonts w:ascii="Times New Roman" w:hAnsi="Times New Roman"/>
          <w:b w:val="false"/>
          <w:i/>
          <w:color w:val="000000"/>
          <w:sz w:val="22"/>
        </w:rPr>
        <w:t xml:space="preserve">Good cause defined.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w:t>
      </w:r>
      <w:r>
        <w:rPr>
          <w:rFonts w:ascii="Times New Roman" w:hAnsi="Times New Roman"/>
          <w:b w:val="false"/>
          <w:i w:val="false"/>
          <w:color w:val="000000"/>
          <w:sz w:val="22"/>
        </w:rPr>
        <w:t> </w:t>
      </w:r>
      <w:r>
        <w:rPr>
          <w:rFonts w:ascii="Times New Roman" w:hAnsi="Times New Roman"/>
          <w:b w:val="false"/>
          <w:i/>
          <w:color w:val="000000"/>
          <w:sz w:val="22"/>
        </w:rPr>
        <w:t xml:space="preserve">Interlocutory appeal.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5">
        <w:r>
          <w:rPr>
            <w:rStyle w:val="Hyperlink"/>
            <w:rFonts w:ascii="Times New Roman" w:hAnsi="Times New Roman"/>
            <w:b w:val="false"/>
            <w:i w:val="false"/>
            <w:color w:val="000000"/>
            <w:sz w:val="22"/>
          </w:rPr>
          <w:t>rule 185—10.25(17A)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w:t>
      </w:r>
      <w:r>
        <w:rPr>
          <w:rFonts w:ascii="Times New Roman" w:hAnsi="Times New Roman"/>
          <w:b w:val="false"/>
          <w:i w:val="false"/>
          <w:color w:val="000000"/>
          <w:sz w:val="22"/>
        </w:rPr>
        <w:t> </w:t>
      </w:r>
      <w:r>
        <w:rPr>
          <w:rFonts w:ascii="Times New Roman" w:hAnsi="Times New Roman"/>
          <w:b w:val="false"/>
          <w:i/>
          <w:color w:val="000000"/>
          <w:sz w:val="22"/>
        </w:rPr>
        <w:t xml:space="preserve">Resumption of hearing.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w:t>
      </w:r>
      <w:r>
        <w:rPr>
          <w:rFonts w:ascii="Times New Roman" w:hAnsi="Times New Roman"/>
          <w:b w:val="false"/>
          <w:i w:val="false"/>
          <w:color w:val="000000"/>
          <w:sz w:val="22"/>
        </w:rPr>
        <w:t> </w:t>
      </w:r>
      <w:r>
        <w:rPr>
          <w:rFonts w:ascii="Times New Roman" w:hAnsi="Times New Roman"/>
          <w:b w:val="false"/>
          <w:i/>
          <w:color w:val="000000"/>
          <w:sz w:val="22"/>
        </w:rPr>
        <w:t xml:space="preserve">Relief.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10.22(10)</w:t>
      </w:r>
      <w:r>
        <w:rPr>
          <w:rFonts w:ascii="Times New Roman" w:hAnsi="Times New Roman"/>
          <w:b w:val="false"/>
          <w:i w:val="false"/>
          <w:color w:val="000000"/>
          <w:sz w:val="22"/>
        </w:rPr>
        <w:t> </w:t>
      </w:r>
      <w:r>
        <w:rPr>
          <w:rFonts w:ascii="Times New Roman" w:hAnsi="Times New Roman"/>
          <w:b w:val="false"/>
          <w:i/>
          <w:color w:val="000000"/>
          <w:sz w:val="22"/>
        </w:rPr>
        <w:t xml:space="preserve">Effect of decision.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6">
        <w:r>
          <w:rPr>
            <w:rStyle w:val="Hyperlink"/>
            <w:rFonts w:ascii="Times New Roman" w:hAnsi="Times New Roman"/>
            <w:b w:val="false"/>
            <w:i w:val="false"/>
            <w:color w:val="000000"/>
            <w:sz w:val="22"/>
          </w:rPr>
          <w:t>rule 185—10.29(17A)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0.27.pdf" Type="http://schemas.openxmlformats.org/officeDocument/2006/relationships/hyperlink" Id="rId4"/>
    <Relationship TargetMode="External" Target="https://www.legis.iowa.gov/docs/iac/rule/185.10.25.pdf" Type="http://schemas.openxmlformats.org/officeDocument/2006/relationships/hyperlink" Id="rId5"/>
    <Relationship TargetMode="External" Target="https://www.legis.iowa.gov/docs/iac/rule/185.10.2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