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185—10.21</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w:t>
      </w:r>
      <w:r>
        <w:rPr>
          <w:rFonts w:ascii="Times New Roman" w:hAnsi="Times New Roman"/>
          <w:b w:val="false"/>
          <w:i w:val="false"/>
          <w:color w:val="000000"/>
          <w:sz w:val="22"/>
        </w:rPr>
        <w:t> </w:t>
      </w:r>
      <w:r>
        <w:rPr>
          <w:rFonts w:ascii="Times New Roman" w:hAnsi="Times New Roman"/>
          <w:b w:val="false"/>
          <w:i/>
          <w:color w:val="000000"/>
          <w:sz w:val="22"/>
        </w:rPr>
        <w:t xml:space="preserve">Admissibility.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w:t>
      </w:r>
      <w:r>
        <w:rPr>
          <w:rFonts w:ascii="Times New Roman" w:hAnsi="Times New Roman"/>
          <w:b w:val="false"/>
          <w:i w:val="false"/>
          <w:color w:val="000000"/>
          <w:sz w:val="22"/>
        </w:rPr>
        <w:t> </w:t>
      </w:r>
      <w:r>
        <w:rPr>
          <w:rFonts w:ascii="Times New Roman" w:hAnsi="Times New Roman"/>
          <w:b w:val="false"/>
          <w:i/>
          <w:color w:val="000000"/>
          <w:sz w:val="22"/>
        </w:rPr>
        <w:t xml:space="preserve">Stipulation of facts.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w:t>
      </w:r>
      <w:r>
        <w:rPr>
          <w:rFonts w:ascii="Times New Roman" w:hAnsi="Times New Roman"/>
          <w:b w:val="false"/>
          <w:i w:val="false"/>
          <w:color w:val="000000"/>
          <w:sz w:val="22"/>
        </w:rPr>
        <w:t> </w:t>
      </w:r>
      <w:r>
        <w:rPr>
          <w:rFonts w:ascii="Times New Roman" w:hAnsi="Times New Roman"/>
          <w:b w:val="false"/>
          <w:i/>
          <w:color w:val="000000"/>
          <w:sz w:val="22"/>
        </w:rPr>
        <w:t xml:space="preserve">Scope of evidence.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w:t>
      </w:r>
      <w:r>
        <w:rPr>
          <w:rFonts w:ascii="Times New Roman" w:hAnsi="Times New Roman"/>
          <w:b w:val="false"/>
          <w:i w:val="false"/>
          <w:color w:val="000000"/>
          <w:sz w:val="22"/>
        </w:rPr>
        <w:t> </w:t>
      </w:r>
      <w:r>
        <w:rPr>
          <w:rFonts w:ascii="Times New Roman" w:hAnsi="Times New Roman"/>
          <w:b w:val="false"/>
          <w:i/>
          <w:color w:val="000000"/>
          <w:sz w:val="22"/>
        </w:rPr>
        <w:t xml:space="preserve">Admission and examination.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be provided to opposing parties. 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w:t>
      </w:r>
      <w:r>
        <w:rPr>
          <w:rFonts w:ascii="Times New Roman" w:hAnsi="Times New Roman"/>
          <w:b w:val="false"/>
          <w:i w:val="false"/>
          <w:color w:val="000000"/>
          <w:sz w:val="22"/>
        </w:rPr>
        <w:t> </w:t>
      </w:r>
      <w:r>
        <w:rPr>
          <w:rFonts w:ascii="Times New Roman" w:hAnsi="Times New Roman"/>
          <w:b w:val="false"/>
          <w:i/>
          <w:color w:val="000000"/>
          <w:sz w:val="22"/>
        </w:rPr>
        <w:t xml:space="preserve">Objection.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10.21(6)</w:t>
      </w:r>
      <w:r>
        <w:rPr>
          <w:rFonts w:ascii="Times New Roman" w:hAnsi="Times New Roman"/>
          <w:b w:val="false"/>
          <w:i w:val="false"/>
          <w:color w:val="000000"/>
          <w:sz w:val="22"/>
        </w:rPr>
        <w:t> </w:t>
      </w:r>
      <w:r>
        <w:rPr>
          <w:rFonts w:ascii="Times New Roman" w:hAnsi="Times New Roman"/>
          <w:b w:val="false"/>
          <w:i/>
          <w:color w:val="000000"/>
          <w:sz w:val="22"/>
        </w:rPr>
        <w:t xml:space="preserve">Offer of service.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