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continuance.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three days before the hearing except for a good cause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Issuing of continuance.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xml:space="preserve">The presiding officer may require documentation of any grounds for continuance. Notwithstanding the foregoing, each party shall be entitled to one continuance without the need of a good cause showing.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