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Rehearing motions.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Written responses.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division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Oral argument.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division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10.16(5)</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the requirements of Iowa Rules of Civil Procedure 1.981, 1.982, and 1.983 and shall be subject to disposition according to the requirements of those rules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judgment order rendered on all issues in a contested case is subject to rehearing pursuant to </w:t>
      </w:r>
      <w:hyperlink r:id="rId4">
        <w:r>
          <w:rPr>
            <w:rStyle w:val="Hyperlink"/>
            <w:rFonts w:ascii="Times New Roman" w:hAnsi="Times New Roman"/>
            <w:b w:val="false"/>
            <w:i w:val="false"/>
            <w:color w:val="000000"/>
            <w:sz w:val="22"/>
          </w:rPr>
          <w:t>rule 185—10.28(17A)</w:t>
        </w:r>
      </w:hyperlink>
      <w:r>
        <w:rPr>
          <w:rFonts w:ascii="Times New Roman" w:hAnsi="Times New Roman"/>
          <w:b w:val="false"/>
          <w:i w:val="false"/>
          <w:color w:val="000000"/>
          <w:sz w:val="22"/>
        </w:rPr>
        <w:t xml:space="preserve"> and appeal pursuant to </w:t>
      </w:r>
      <w:hyperlink r:id="rId5">
        <w:r>
          <w:rPr>
            <w:rStyle w:val="Hyperlink"/>
            <w:rFonts w:ascii="Times New Roman" w:hAnsi="Times New Roman"/>
            <w:b w:val="false"/>
            <w:i w:val="false"/>
            <w:color w:val="000000"/>
            <w:sz w:val="22"/>
          </w:rPr>
          <w:t>rule 185—10.27(17A)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0.28.pdf" Type="http://schemas.openxmlformats.org/officeDocument/2006/relationships/hyperlink" Id="rId4"/>
    <Relationship TargetMode="External" Target="https://www.legis.iowa.gov/docs/iac/rule/185.10.2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