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185—10.15</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Agency subpoenas. An agency subpoena shall be issued to a party on request. Subpoenas may compel the attendance of witnesses at deposition or hearing and the production of books, papers, records, and other real evidence unless they are otherwise expressly exempt from disclosure by Constitution or statute. A command to produce evidence or to permit inspection may be joined with a command to appear at deposition or hearing, or each command may be issued separately. Subpoenas shall be issued by the presiding officer upon a written request. Such a request must be in writing. In the absence of good cause for permitting later action, a request for a subpoena must be received at least three days before the scheduled hearing. The request shall include the name,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of subpoenas. Except to the extent otherwise provided by law, parties are responsible for service of their own subpoenas and payment of witness fees and mileage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for any lawful reason upon motion in accordance with the Iowa Rules of Civil Procedure. A motion to quash or modify a subpoena shall be set for argument promptly.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5392C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