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185—1.5</w:t>
      </w:r>
      <w:r>
        <w:rPr>
          <w:rFonts w:ascii="Times New Roman" w:hAnsi="Times New Roman"/>
          <w:b/>
          <w:i w:val="false"/>
          <w:color w:val="000000"/>
          <w:sz w:val="22"/>
        </w:rPr>
        <w:t xml:space="preserve">(123,17A) </w:t>
      </w:r>
      <w:r>
        <w:rPr>
          <w:rFonts w:ascii="Times New Roman" w:hAnsi="Times New Roman"/>
          <w:b/>
          <w:i w:val="false"/>
          <w:color w:val="000000"/>
          <w:sz w:val="22"/>
        </w:rPr>
        <w:t xml:space="preserve">Central offices. </w:t>
      </w:r>
      <w:r>
        <w:rPr>
          <w:rFonts w:ascii="Times New Roman" w:hAnsi="Times New Roman"/>
          <w:b w:val="false"/>
          <w:i w:val="false"/>
          <w:color w:val="000000"/>
          <w:sz w:val="22"/>
        </w:rPr>
        <w:t>The central office is located at 1918 S.E. Hulsizer Road, Ankeny, Iowa 50021; telephone (515)281-7400 or 1-866-469-2223. The central office is responsible for the operational support of the division and is the principal custodian of all divisional orders, statements of law or policy issued by the division, and other public documents on file with the division.</w:t>
      </w:r>
    </w:p>
    <w:p>
      <w:pPr>
        <w:spacing w:before="0" w:after="0"/>
        <w:ind w:left="120"/>
        <w:jc w:val="left"/>
      </w:pPr>
      <w:r>
        <w:rPr>
          <w:rFonts w:ascii="Times New Roman" w:hAnsi="Times New Roman"/>
          <w:b w:val="false"/>
          <w:i w:val="false"/>
          <w:color w:val="000000"/>
          <w:sz w:val="22"/>
        </w:rPr>
        <w:t xml:space="preserve">This rule is intended to implement Iowa Code section </w:t>
      </w:r>
      <w:hyperlink r:id="rId4">
        <w:r>
          <w:rPr>
            <w:rStyle w:val="Hyperlink"/>
            <w:rFonts w:ascii="Times New Roman" w:hAnsi="Times New Roman"/>
            <w:b w:val="false"/>
            <w:i w:val="false"/>
            <w:color w:val="000000"/>
            <w:sz w:val="22"/>
          </w:rPr>
          <w:t>123.4</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0273C</w:t>
      </w:r>
      <w:r>
        <w:rPr>
          <w:rFonts w:ascii="Times New Roman" w:hAnsi="Times New Roman"/>
          <w:b w:val="false"/>
          <w:i w:val="false"/>
          <w:color w:val="000000"/>
          <w:sz w:val="16"/>
        </w:rPr>
        <w:t>, IAB 8/8/12, effective 9/12/12</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23.4.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