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185—1.1</w:t>
      </w:r>
      <w:r>
        <w:rPr>
          <w:rFonts w:ascii="Times New Roman" w:hAnsi="Times New Roman"/>
          <w:b/>
          <w:i w:val="false"/>
          <w:color w:val="000000"/>
          <w:sz w:val="22"/>
        </w:rPr>
        <w:t xml:space="preserve">(123,17A)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organization and operation of the alcoholic beverages division, including the offices where and the means by which any interested person may obtain information and make submittals or requests.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