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Site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Storage.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Adequate storage will be provided to protect equipment from physical, chemical and ultraviolet-ray damage. The storage area will be secured against unauthorized entry.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Communications.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will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public address system in operation during the hours of business.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radio communication link between the platform and the staff responsible for jumper registration, landing, and recovery.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means on site to communicate with local emergency responders.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clearly visible sign at the entrance to the operating site setting forth medical restrictions for jumpers, the minimum-age requirement of 18 years of age, and instructions for jumpers.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Wind meter.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anemometer will be installed in accordance with the manufacturer’s recommendations and in a location easily visible to the staff.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Lighting.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Adequate lighting will be provided at a site that operates at any time during the period of one-half hour prior to sunset until one-half hour after sunrise. At a minimum, the lighting system will be capable of lighting the jump platform, the jump space and the landing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Fences.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operator will use fences in compliance with ASTM 2291-14, Part 14, to limit access to the site.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