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875—62.3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The grounds of a fair or carnival shall be designed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Clearance around covered equipment will meet or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between covered equipment and a facility for cooking will be at least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Walkways will be wide, unobstructed, and open at each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Walkways through concession booth backyards and over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Intermingling of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Guy wires, braces and ropes used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not be placed in walkways or in the entrances or exits for covered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clearly marked with streamers or other devices when located adjacent to walkways.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Stakes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Adequate containers for refuse will be provided. Accumulations of trash will be removed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Entrances and exits for covered equipment will be provided with at least 5 foot-candles of light measured at grade level. No less than 10 foot-candles of light will be provided at all work levels for assembly and disassembly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w:t>
      </w:r>
      <w:r>
        <w:rPr>
          <w:rFonts w:ascii="Times New Roman" w:hAnsi="Times New Roman"/>
          <w:b w:val="false"/>
          <w:i w:val="false"/>
          <w:color w:val="000000"/>
          <w:sz w:val="22"/>
        </w:rPr>
        <w:t> </w:t>
      </w:r>
      <w:r>
        <w:rPr>
          <w:rFonts w:ascii="Times New Roman" w:hAnsi="Times New Roman"/>
          <w:b w:val="false"/>
          <w:i/>
          <w:color w:val="000000"/>
          <w:sz w:val="22"/>
        </w:rPr>
        <w:t xml:space="preserve">Internal combustion engines. </w:t>
      </w:r>
      <w:r>
        <w:rPr>
          <w:rFonts w:ascii="Times New Roman" w:hAnsi="Times New Roman"/>
          <w:b w:val="false"/>
          <w:i w:val="false"/>
          <w:color w:val="000000"/>
          <w:sz w:val="22"/>
        </w:rPr>
        <w:t>Internal combustion engines will be a minimum of 5 feet from an air-supported structure and will be guarded or fenced to prevent patron exposure or access. An internal combustion engine operated in an enclosed area will be provided with fresh-air intake and an exhaust discharge flue.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w:t>
      </w:r>
      <w:r>
        <w:rPr>
          <w:rFonts w:ascii="Times New Roman" w:hAnsi="Times New Roman"/>
          <w:b w:val="false"/>
          <w:i w:val="false"/>
          <w:color w:val="000000"/>
          <w:sz w:val="22"/>
        </w:rPr>
        <w:t> </w:t>
      </w:r>
      <w:r>
        <w:rPr>
          <w:rFonts w:ascii="Times New Roman" w:hAnsi="Times New Roman"/>
          <w:b w:val="false"/>
          <w:i/>
          <w:color w:val="000000"/>
          <w:sz w:val="22"/>
        </w:rPr>
        <w:t xml:space="preserve">Flammable waste and materials. </w:t>
      </w:r>
      <w:r>
        <w:rPr>
          <w:rFonts w:ascii="Times New Roman" w:hAnsi="Times New Roman"/>
          <w:b w:val="false"/>
          <w:i w:val="false"/>
          <w:color w:val="000000"/>
          <w:sz w:val="22"/>
        </w:rPr>
        <w:t>An operator will provide identified covered and labeled metal containers for flammable waste. The containers will be available to staff and attendants but will not be accessible to patrons.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w:t>
      </w:r>
      <w:r>
        <w:rPr>
          <w:rFonts w:ascii="Times New Roman" w:hAnsi="Times New Roman"/>
          <w:b w:val="false"/>
          <w:i w:val="false"/>
          <w:color w:val="000000"/>
          <w:sz w:val="22"/>
        </w:rPr>
        <w:t> </w:t>
      </w:r>
      <w:r>
        <w:rPr>
          <w:rFonts w:ascii="Times New Roman" w:hAnsi="Times New Roman"/>
          <w:b w:val="false"/>
          <w:i/>
          <w:color w:val="000000"/>
          <w:sz w:val="22"/>
        </w:rPr>
        <w:t xml:space="preserve">Storage of hazardous or flammable materials. </w:t>
      </w:r>
      <w:r>
        <w:rPr>
          <w:rFonts w:ascii="Times New Roman" w:hAnsi="Times New Roman"/>
          <w:b w:val="false"/>
          <w:i w:val="false"/>
          <w:color w:val="000000"/>
          <w:sz w:val="22"/>
        </w:rPr>
        <w:t>Storage of more than 50 gallons of fuel, other flammable material, or hazardous gas is not permitted in any area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w:t>
      </w:r>
      <w:r>
        <w:rPr>
          <w:rFonts w:ascii="Times New Roman" w:hAnsi="Times New Roman"/>
          <w:b w:val="false"/>
          <w:i w:val="false"/>
          <w:color w:val="000000"/>
          <w:sz w:val="22"/>
        </w:rPr>
        <w:t> </w:t>
      </w:r>
      <w:r>
        <w:rPr>
          <w:rFonts w:ascii="Times New Roman" w:hAnsi="Times New Roman"/>
          <w:b w:val="false"/>
          <w:i/>
          <w:color w:val="000000"/>
          <w:sz w:val="22"/>
        </w:rPr>
        <w:t xml:space="preserve">Walking surfaces. </w:t>
      </w:r>
      <w:r>
        <w:rPr>
          <w:rFonts w:ascii="Times New Roman" w:hAnsi="Times New Roman"/>
          <w:b w:val="false"/>
          <w:i w:val="false"/>
          <w:color w:val="000000"/>
          <w:sz w:val="22"/>
        </w:rPr>
        <w:t>Entrances and exits for covered equipment will be adequate, unobstructed, and in accordance with the manufacturer’s instructions. Hazards, such as protruding nails, splinters, holes, loose boards, debris, obstructions, and projections, are prohibited. Stairways, ramps and railings will be provided where patrons enter or exit covered equipment above or below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62.3(8)</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 xml:space="preserve">Fences or other barriers will be maintained to prevent movement. Placement of fences will be consistent with the recommendations of the manufacturer. If the manufacturer’s recommendation regarding fences is not available, fences will meet ASTM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62.3(9)</w:t>
      </w:r>
      <w:r>
        <w:rPr>
          <w:rFonts w:ascii="Times New Roman" w:hAnsi="Times New Roman"/>
          <w:b w:val="false"/>
          <w:i w:val="false"/>
          <w:color w:val="000000"/>
          <w:sz w:val="22"/>
        </w:rPr>
        <w:t> </w:t>
      </w:r>
      <w:r>
        <w:rPr>
          <w:rFonts w:ascii="Times New Roman" w:hAnsi="Times New Roman"/>
          <w:b w:val="false"/>
          <w:i/>
          <w:color w:val="000000"/>
          <w:sz w:val="22"/>
        </w:rPr>
        <w:t xml:space="preserve">Queue line. </w:t>
      </w:r>
      <w:r>
        <w:rPr>
          <w:rFonts w:ascii="Times New Roman" w:hAnsi="Times New Roman"/>
          <w:b w:val="false"/>
          <w:i w:val="false"/>
          <w:color w:val="000000"/>
          <w:sz w:val="22"/>
        </w:rPr>
        <w:t>Lines will be designed to meet or exceed manufacture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62.3(10)</w:t>
      </w:r>
      <w:r>
        <w:rPr>
          <w:rFonts w:ascii="Times New Roman" w:hAnsi="Times New Roman"/>
          <w:b w:val="false"/>
          <w:i w:val="false"/>
          <w:color w:val="000000"/>
          <w:sz w:val="22"/>
        </w:rPr>
        <w:t> </w:t>
      </w:r>
      <w:r>
        <w:rPr>
          <w:rFonts w:ascii="Times New Roman" w:hAnsi="Times New Roman"/>
          <w:b w:val="false"/>
          <w:i/>
          <w:color w:val="000000"/>
          <w:sz w:val="22"/>
        </w:rPr>
        <w:t xml:space="preserve">Setup. </w:t>
      </w:r>
      <w:r>
        <w:rPr>
          <w:rFonts w:ascii="Times New Roman" w:hAnsi="Times New Roman"/>
          <w:b w:val="false"/>
          <w:i w:val="false"/>
          <w:color w:val="000000"/>
          <w:sz w:val="22"/>
        </w:rPr>
        <w:t>Operators will follow the manufacturer’s instructions to ensure that covered equipment is level and stable. If the manufacturer’s instructions are not available, the setup will meet ASTM standards.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