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875—61.3</w:t>
      </w:r>
      <w:r>
        <w:rPr>
          <w:rFonts w:ascii="Times New Roman" w:hAnsi="Times New Roman"/>
          <w:b/>
          <w:i w:val="false"/>
          <w:color w:val="000000"/>
          <w:sz w:val="22"/>
        </w:rPr>
        <w:t xml:space="preserve">(88A) </w:t>
      </w:r>
      <w:r>
        <w:rPr>
          <w:rFonts w:ascii="Times New Roman" w:hAnsi="Times New Roman"/>
          <w:b/>
          <w:i w:val="false"/>
          <w:color w:val="000000"/>
          <w:sz w:val="22"/>
        </w:rPr>
        <w:t xml:space="preserve">Owner and operator requirements. </w:t>
      </w:r>
      <w:r>
        <w:rPr>
          <w:rFonts w:ascii="Times New Roman" w:hAnsi="Times New Roman"/>
          <w:b w:val="false"/>
          <w:i w:val="false"/>
          <w:color w:val="000000"/>
          <w:sz w:val="22"/>
        </w:rPr>
        <w:t>No person may operate covered equipment at a carnival or fair unless the person holds a current application certificate and the covered equipment has passed an Iowa inspection. The director reserves the right to deny inspection for any application submitted less than 60 days prior to operation at the first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Application certificate. </w:t>
      </w:r>
      <w:r>
        <w:rPr>
          <w:rFonts w:ascii="Times New Roman" w:hAnsi="Times New Roman"/>
          <w:b w:val="false"/>
          <w:i w:val="false"/>
          <w:color w:val="000000"/>
          <w:sz w:val="22"/>
        </w:rPr>
        <w:t>No later than 60 days before operation begins each calendar year, the operator of covered equipment will apply to the director for an application certificate. Applications may be submitted in November for continuous operations. Applications are made on a form provided by the director. Each of the following are submitted with the completed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issued by an insurance company authorized to do business in Iowa. The certificate of insurance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Certify a policy in the minimum amount of $1 million for bodily injury, death, or property damage in any one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 the specific pieces of equipment that are covered and, if applicable, those that are not covered;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“Department of Inspections, Appeals, and Licensing—Amusements”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operator’s itinerary identifying the covered equipment to be operated and the dates and locations where each will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of compliance with applicable training and maintenance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for each bungee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report that is prepared and sealed by a professional engineer who is licensed in Iowa and that certifies that the design and construction of the equipment and structure are suitable for the intended use and conform to Iowa law, recognized engineering practices, procedures, standards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plan drawings depicting the preparation area, the jump space, the landing area, the recovery area and other features to be included in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Specifications of equipment and structures;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Depictions of the location, specifications, dimensions, and type of air bag, pool or body of water where the jumper will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Changes to information submitted with application. </w:t>
      </w:r>
      <w:r>
        <w:rPr>
          <w:rFonts w:ascii="Times New Roman" w:hAnsi="Times New Roman"/>
          <w:b w:val="false"/>
          <w:i w:val="false"/>
          <w:color w:val="000000"/>
          <w:sz w:val="22"/>
        </w:rPr>
        <w:t>The operator will immediately notify the director of any changes to the operator’s itinerary or information provided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Personal injuries and deaths.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will immediately report by telephone any accident that results in death or medical care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48 hours after an operator is notified of a claim or report to the operator’s insurance provider, the operator will submit a duplicate copy of the report or claim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that the scene of an accident be secured and not disturbed to any greater extent than necessary for removal of the deceased or injured person. If covered equipment is removed from service by the director, the covered equipment may be returned to service only upon the director’s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Major breakdown report. </w:t>
      </w:r>
      <w:r>
        <w:rPr>
          <w:rFonts w:ascii="Times New Roman" w:hAnsi="Times New Roman"/>
          <w:b w:val="false"/>
          <w:i w:val="false"/>
          <w:color w:val="000000"/>
          <w:sz w:val="22"/>
        </w:rPr>
        <w:t>The operator will report a major breakdown of covered equipment to the director immediately and provide a detailed report in writing within 48 hours. The director may order the covered equipment to be withheld from operation, and in such case, the director will conduct an immediate investigation. The covered equipment may be released for repair and operation only after the director’s investigation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color w:val="000000"/>
          <w:sz w:val="22"/>
        </w:rPr>
        <w:t xml:space="preserve">Advance notice of major modification. </w:t>
      </w:r>
      <w:r>
        <w:rPr>
          <w:rFonts w:ascii="Times New Roman" w:hAnsi="Times New Roman"/>
          <w:b w:val="false"/>
          <w:i w:val="false"/>
          <w:color w:val="000000"/>
          <w:sz w:val="22"/>
        </w:rPr>
        <w:t>The operator will notify the director in writing at least ten days prior to a major modification and, if requested by the director, provide plans, diagrams, and ride analysis documentation consistent with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61.3(6)</w:t>
      </w:r>
      <w:r>
        <w:rPr>
          <w:rFonts w:ascii="Times New Roman" w:hAnsi="Times New Roman"/>
          <w:b w:val="false"/>
          <w:i w:val="false"/>
          <w:color w:val="000000"/>
          <w:sz w:val="22"/>
        </w:rPr>
        <w:t> </w:t>
      </w:r>
      <w:r>
        <w:rPr>
          <w:rFonts w:ascii="Times New Roman" w:hAnsi="Times New Roman"/>
          <w:b w:val="false"/>
          <w:i/>
          <w:color w:val="000000"/>
          <w:sz w:val="22"/>
        </w:rPr>
        <w:t xml:space="preserve">Technical data. </w:t>
      </w:r>
      <w:r>
        <w:rPr>
          <w:rFonts w:ascii="Times New Roman" w:hAnsi="Times New Roman"/>
          <w:b w:val="false"/>
          <w:i w:val="false"/>
          <w:color w:val="000000"/>
          <w:sz w:val="22"/>
        </w:rPr>
        <w:t>If requested by the director, the operator will provide an English language version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concerning constant, reversible, or eccentric forces generated by acceleration, deceleration, wind, centrifugal action, or inertia.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Stress analysis and other data pertinent to the structural materials, design, structure, factors of safety or performance characteristics.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