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875—177.2</w:t>
      </w:r>
      <w:r>
        <w:rPr>
          <w:rFonts w:ascii="Times New Roman" w:hAnsi="Times New Roman"/>
          <w:b/>
          <w:i w:val="false"/>
          <w:color w:val="000000"/>
          <w:sz w:val="22"/>
        </w:rPr>
        <w:t xml:space="preserve">(90A) </w:t>
      </w:r>
      <w:r>
        <w:rPr>
          <w:rFonts w:ascii="Times New Roman" w:hAnsi="Times New Roman"/>
          <w:b/>
          <w:i w:val="false"/>
          <w:color w:val="000000"/>
          <w:sz w:val="22"/>
        </w:rPr>
        <w:t xml:space="preserve">Equipment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177.2(1)</w:t>
      </w:r>
      <w:r>
        <w:rPr>
          <w:rFonts w:ascii="Times New Roman" w:hAnsi="Times New Roman"/>
          <w:b w:val="false"/>
          <w:i w:val="false"/>
          <w:color w:val="000000"/>
          <w:sz w:val="22"/>
        </w:rPr>
        <w:t> </w:t>
      </w:r>
      <w:r>
        <w:rPr>
          <w:rFonts w:ascii="Times New Roman" w:hAnsi="Times New Roman"/>
          <w:b w:val="false"/>
          <w:i/>
          <w:color w:val="000000"/>
          <w:sz w:val="22"/>
        </w:rPr>
        <w:t xml:space="preserve">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Size. </w:t>
      </w:r>
      <w:r>
        <w:rPr>
          <w:rFonts w:ascii="Times New Roman" w:hAnsi="Times New Roman"/>
          <w:b w:val="false"/>
          <w:i w:val="false"/>
          <w:color w:val="000000"/>
          <w:sz w:val="22"/>
        </w:rPr>
        <w:t>The cage will not be less than 16 nor more than 36 feet square.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Enclosure. </w:t>
      </w:r>
      <w:r>
        <w:rPr>
          <w:rFonts w:ascii="Times New Roman" w:hAnsi="Times New Roman"/>
          <w:b w:val="false"/>
          <w:i w:val="false"/>
          <w:color w:val="000000"/>
          <w:sz w:val="22"/>
        </w:rPr>
        <w:t>The ring will be equipped with an enclosure to limit persons from being tossed from the ring. The enclosure will be at least 6 feet high. The enclosure will consist of supports and enclosing material. The supports will be constructed of rigid material not more than 4 inches in diameter. The supports will be fastened securely to the floor or to the other supports. The supports will be protected by padding to avoid injury to any contestants striking the supports. The enclosing material will have openings not to exceed 4 inches in any direction. The enclosing material will not be rigid and will deflect at least ½ inch when ten pounds of pressure are exerted upon any point. All sharp objects or protrusions will be protected with padding.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The ring will not be elevated more than 3½ feet above the floor. Suitable steps for the use of contestants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Ring floor. </w:t>
      </w:r>
      <w:r>
        <w:rPr>
          <w:rFonts w:ascii="Times New Roman" w:hAnsi="Times New Roman"/>
          <w:b w:val="false"/>
          <w:i w:val="false"/>
          <w:color w:val="000000"/>
          <w:sz w:val="22"/>
        </w:rPr>
        <w:t>The ring floor will be padded to the thickness of at least 1 inch with insulite or other soft materials to be approved by the commissioner. A canvas covering stretched tightly and laced to the ring platform will cover the padding.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Ring approval. </w:t>
      </w:r>
      <w:r>
        <w:rPr>
          <w:rFonts w:ascii="Times New Roman" w:hAnsi="Times New Roman"/>
          <w:b w:val="false"/>
          <w:i w:val="false"/>
          <w:color w:val="000000"/>
          <w:sz w:val="22"/>
        </w:rPr>
        <w:t>The promoter shall make the ring and ring enclosure system available in the state of Iowa for inspection by the commissioner at least ten days prior to any event. The specifications in this rule are general, and so actual inspection will be necessary to verify adequate contestant safety prior to the event. If the commissioner has previously inspected the ring used by the promoter, the commissioner may waive the ten-day advance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177.2(2)</w:t>
      </w:r>
      <w:r>
        <w:rPr>
          <w:rFonts w:ascii="Times New Roman" w:hAnsi="Times New Roman"/>
          <w:b w:val="false"/>
          <w:i w:val="false"/>
          <w:color w:val="000000"/>
          <w:sz w:val="22"/>
        </w:rPr>
        <w:t> </w:t>
      </w:r>
      <w:r>
        <w:rPr>
          <w:rFonts w:ascii="Times New Roman" w:hAnsi="Times New Roman"/>
          <w:b w:val="false"/>
          <w:i/>
          <w:color w:val="000000"/>
          <w:sz w:val="22"/>
        </w:rPr>
        <w:t xml:space="preserve">Bell. </w:t>
      </w:r>
      <w:r>
        <w:rPr>
          <w:rFonts w:ascii="Times New Roman" w:hAnsi="Times New Roman"/>
          <w:b w:val="false"/>
          <w:i w:val="false"/>
          <w:color w:val="000000"/>
          <w:sz w:val="22"/>
        </w:rPr>
        <w:t>A suitable bell or gong shall be provided and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177.2(3)</w:t>
      </w:r>
      <w:r>
        <w:rPr>
          <w:rFonts w:ascii="Times New Roman" w:hAnsi="Times New Roman"/>
          <w:b w:val="false"/>
          <w:i w:val="false"/>
          <w:color w:val="000000"/>
          <w:sz w:val="22"/>
        </w:rPr>
        <w:t> </w:t>
      </w:r>
      <w:r>
        <w:rPr>
          <w:rFonts w:ascii="Times New Roman" w:hAnsi="Times New Roman"/>
          <w:b w:val="false"/>
          <w:i/>
          <w:color w:val="000000"/>
          <w:sz w:val="22"/>
        </w:rPr>
        <w:t xml:space="preserve">Time keeping. </w:t>
      </w:r>
      <w:r>
        <w:rPr>
          <w:rFonts w:ascii="Times New Roman" w:hAnsi="Times New Roman"/>
          <w:b w:val="false"/>
          <w:i w:val="false"/>
          <w:color w:val="000000"/>
          <w:sz w:val="22"/>
        </w:rPr>
        <w:t>The timekeeper shall be provided with a stopwatch and whistle.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