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875—176.2</w:t>
      </w:r>
      <w:r>
        <w:rPr>
          <w:rFonts w:ascii="Times New Roman" w:hAnsi="Times New Roman"/>
          <w:b/>
          <w:i w:val="false"/>
          <w:color w:val="000000"/>
          <w:sz w:val="22"/>
        </w:rPr>
        <w:t xml:space="preserve">(90A) </w:t>
      </w:r>
      <w:r>
        <w:rPr>
          <w:rFonts w:ascii="Times New Roman" w:hAnsi="Times New Roman"/>
          <w:b/>
          <w:i w:val="false"/>
          <w:color w:val="000000"/>
          <w:sz w:val="22"/>
        </w:rPr>
        <w:t xml:space="preserve">GLORY rules adopted by reference. </w:t>
      </w:r>
      <w:r>
        <w:rPr>
          <w:rFonts w:ascii="Times New Roman" w:hAnsi="Times New Roman"/>
          <w:b w:val="false"/>
          <w:i w:val="false"/>
          <w:color w:val="000000"/>
          <w:sz w:val="22"/>
        </w:rPr>
        <w:t>The commissioner adopts by reference the kickboxing rules and regulations of GLORY Kickboxing as of January 1, 2023. The GLORY Kickboxing rules shall be used for all GLORY Kickboxing matches and events.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