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875—174.1</w:t>
      </w:r>
      <w:r>
        <w:rPr>
          <w:rFonts w:ascii="Times New Roman" w:hAnsi="Times New Roman"/>
          <w:b/>
          <w:i w:val="false"/>
          <w:color w:val="000000"/>
          <w:sz w:val="22"/>
        </w:rPr>
        <w:t xml:space="preserve">(90A)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These rules apply to elimination tournaments, which are boxing matches where contestants box one another, two at a time, with one contestant eliminated from the tournament. The elimination continues with winners from the various bouts competing until only one contestant remains undefeated in the weight division. Elimination tournaments are governed by the rules in </w:t>
      </w:r>
      <w:hyperlink r:id="rId4">
        <w:r>
          <w:rPr>
            <w:rStyle w:val="Hyperlink"/>
            <w:rFonts w:ascii="Times New Roman" w:hAnsi="Times New Roman"/>
            <w:b w:val="false"/>
            <w:i w:val="false"/>
            <w:color w:val="000000"/>
            <w:sz w:val="22"/>
          </w:rPr>
          <w:t>875—Chapter 173</w:t>
        </w:r>
      </w:hyperlink>
      <w:r>
        <w:rPr>
          <w:rFonts w:ascii="Times New Roman" w:hAnsi="Times New Roman"/>
          <w:b w:val="false"/>
          <w:i w:val="false"/>
          <w:color w:val="000000"/>
          <w:sz w:val="22"/>
        </w:rPr>
        <w:t xml:space="preserve"> and this chapter. Any conflicts between </w:t>
      </w:r>
      <w:hyperlink r:id="rId5">
        <w:r>
          <w:rPr>
            <w:rStyle w:val="Hyperlink"/>
            <w:rFonts w:ascii="Times New Roman" w:hAnsi="Times New Roman"/>
            <w:b w:val="false"/>
            <w:i w:val="false"/>
            <w:color w:val="000000"/>
            <w:sz w:val="22"/>
          </w:rPr>
          <w:t>875—Chapter 173</w:t>
        </w:r>
      </w:hyperlink>
      <w:r>
        <w:rPr>
          <w:rFonts w:ascii="Times New Roman" w:hAnsi="Times New Roman"/>
          <w:b w:val="false"/>
          <w:i w:val="false"/>
          <w:color w:val="000000"/>
          <w:sz w:val="22"/>
        </w:rPr>
        <w:t xml:space="preserve"> and this chapter will be resolved in favor of this chapter.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875.173.pdf" Type="http://schemas.openxmlformats.org/officeDocument/2006/relationships/hyperlink" Id="rId4"/>
    <Relationship TargetMode="External" Target="https://www.legis.iowa.gov/docs/iac/chapter/875.17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