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875—173.9</w:t>
      </w:r>
      <w:r>
        <w:rPr>
          <w:rFonts w:ascii="Times New Roman" w:hAnsi="Times New Roman"/>
          <w:b/>
          <w:i w:val="false"/>
          <w:color w:val="000000"/>
          <w:sz w:val="22"/>
        </w:rPr>
        <w:t xml:space="preserve">(90A) </w:t>
      </w:r>
      <w:r>
        <w:rPr>
          <w:rFonts w:ascii="Times New Roman" w:hAnsi="Times New Roman"/>
          <w:b/>
          <w:i w:val="false"/>
          <w:color w:val="000000"/>
          <w:sz w:val="22"/>
        </w:rPr>
        <w:t xml:space="preserve">Scoring. </w:t>
      </w:r>
      <w:r>
        <w:rPr>
          <w:rFonts w:ascii="Times New Roman" w:hAnsi="Times New Roman"/>
          <w:b w:val="false"/>
          <w:i w:val="false"/>
          <w:color w:val="000000"/>
          <w:sz w:val="22"/>
        </w:rPr>
        <w:t>Twenty points will be the maximum number to be scored in any round. The contestant winning the round will receive ten points and the opponent proportionately less. If the round is even, each contestant will receive ten points.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