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875—173.8</w:t>
      </w:r>
      <w:r>
        <w:rPr>
          <w:rFonts w:ascii="Times New Roman" w:hAnsi="Times New Roman"/>
          <w:b/>
          <w:i w:val="false"/>
          <w:color w:val="000000"/>
          <w:sz w:val="22"/>
        </w:rPr>
        <w:t xml:space="preserve">(90A) </w:t>
      </w:r>
      <w:r>
        <w:rPr>
          <w:rFonts w:ascii="Times New Roman" w:hAnsi="Times New Roman"/>
          <w:b/>
          <w:i w:val="false"/>
          <w:color w:val="000000"/>
          <w:sz w:val="22"/>
        </w:rPr>
        <w:t xml:space="preserve">Protection of hands.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Said tape may cross the back of the hand twice, but not extend within 1 inch of the knuckles when the hand is clenched to make a fist.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