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875—173.7</w:t>
      </w:r>
      <w:r>
        <w:rPr>
          <w:rFonts w:ascii="Times New Roman" w:hAnsi="Times New Roman"/>
          <w:b/>
          <w:i w:val="false"/>
          <w:color w:val="000000"/>
          <w:sz w:val="22"/>
        </w:rPr>
        <w:t xml:space="preserve">(90A) </w:t>
      </w:r>
      <w:r>
        <w:rPr>
          <w:rFonts w:ascii="Times New Roman" w:hAnsi="Times New Roman"/>
          <w:b/>
          <w:i w:val="false"/>
          <w:color w:val="000000"/>
          <w:sz w:val="22"/>
        </w:rPr>
        <w:t xml:space="preserve">Persons allowed in the ring. </w:t>
      </w:r>
      <w:r>
        <w:rPr>
          <w:rFonts w:ascii="Times New Roman" w:hAnsi="Times New Roman"/>
          <w:b w:val="false"/>
          <w:i w:val="false"/>
          <w:color w:val="000000"/>
          <w:sz w:val="22"/>
        </w:rPr>
        <w:t>No person other than the contestants and the referee may enter the ring during the bout, excepting the seconds between the rounds or the attending physician if asked by the referee to examine an injury to a contestant.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