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875—173.6</w:t>
      </w:r>
      <w:r>
        <w:rPr>
          <w:rFonts w:ascii="Times New Roman" w:hAnsi="Times New Roman"/>
          <w:b/>
          <w:i w:val="false"/>
          <w:color w:val="000000"/>
          <w:sz w:val="22"/>
        </w:rPr>
        <w:t xml:space="preserve">(90A) </w:t>
      </w:r>
      <w:r>
        <w:rPr>
          <w:rFonts w:ascii="Times New Roman" w:hAnsi="Times New Roman"/>
          <w:b/>
          <w:i w:val="false"/>
          <w:color w:val="000000"/>
          <w:sz w:val="22"/>
        </w:rPr>
        <w:t xml:space="preserve">Contestants’ arrival. </w:t>
      </w:r>
      <w:r>
        <w:rPr>
          <w:rFonts w:ascii="Times New Roman" w:hAnsi="Times New Roman"/>
          <w:b w:val="false"/>
          <w:i w:val="false"/>
          <w:color w:val="000000"/>
          <w:sz w:val="22"/>
        </w:rPr>
        <w:t>All main event contestants shall be in the city or locale at least 24 hours before the scheduled time of the bout or contest. The promoter shall advise the commissioner of the arrival time. Any exception to this rule shall be approved by the commissioner.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