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875—173.54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Boxer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participates in the Association of Boxing Commissions (ABC) national boxer registration system that allows authorities from different states to share information concerning boxers. The issuance of a registration card to a boxer does not guarantee the right to participate in a match.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173.54(1)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boxer applies for registration in the state where the boxer resides, unless the state where the boxer resides does not participate in the ABC registration system. A person applying for a new or renewal boxer registration completes, signs, and submits to the commission the ABC Boxer’s Federal Identification Card 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173.54(2)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Attachments.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 the application, the applicant submits a $25 fee, two 1″ × 1.5″ color photographs of the applicant’s head, and a copy of a photo identification issued to the applicant by a governmental entity and containing the applicant’s photograph and social security number or similar foreign identification number. The applicant must be recognizable in the photographs.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173.54(3)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Expiration.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registration expires two years from the date of issuance.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173.54(4)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Changes.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boxer shall notify the commission at the time any of the information on the form changes.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173.54(5)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may refuse to issue or renew a boxer registration for failure to complete an application package properly.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