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875—173.53</w:t>
      </w:r>
      <w:r>
        <w:rPr>
          <w:rFonts w:ascii="Times New Roman" w:hAnsi="Times New Roman"/>
          <w:b/>
          <w:i w:val="false"/>
          <w:color w:val="000000"/>
          <w:sz w:val="22"/>
        </w:rPr>
        <w:t xml:space="preserve">(90A) </w:t>
      </w:r>
      <w:r>
        <w:rPr>
          <w:rFonts w:ascii="Times New Roman" w:hAnsi="Times New Roman"/>
          <w:b/>
          <w:i w:val="false"/>
          <w:color w:val="000000"/>
          <w:sz w:val="22"/>
        </w:rPr>
        <w:t xml:space="preserve">Decision. </w:t>
      </w:r>
      <w:r>
        <w:rPr>
          <w:rFonts w:ascii="Times New Roman" w:hAnsi="Times New Roman"/>
          <w:b w:val="false"/>
          <w:i w:val="false"/>
          <w:color w:val="000000"/>
          <w:sz w:val="22"/>
        </w:rPr>
        <w:t>Each judge shall reach a decision without conferring in any manner with any other official or person. Each judge will make out a scorecard in accordance with the rules governing boxing. At the end of the bout, the decision shall be written on the scorecard and the card shall be given to the commissioner or designee for verification who will then hand the cards to the referee who will then announce the decision. The winner is determined by the majority vote of the three judges, and each judge selects a choice based on the highest number of points.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