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875—173.50</w:t>
      </w:r>
      <w:r>
        <w:rPr>
          <w:rFonts w:ascii="Times New Roman" w:hAnsi="Times New Roman"/>
          <w:b/>
          <w:i w:val="false"/>
          <w:color w:val="000000"/>
          <w:sz w:val="22"/>
        </w:rPr>
        <w:t xml:space="preserve">(90A) </w:t>
      </w:r>
      <w:r>
        <w:rPr>
          <w:rFonts w:ascii="Times New Roman" w:hAnsi="Times New Roman"/>
          <w:b/>
          <w:i w:val="false"/>
          <w:color w:val="000000"/>
          <w:sz w:val="22"/>
        </w:rPr>
        <w:t xml:space="preserve">Use of water. </w:t>
      </w:r>
      <w:r>
        <w:rPr>
          <w:rFonts w:ascii="Times New Roman" w:hAnsi="Times New Roman"/>
          <w:b w:val="false"/>
          <w:i w:val="false"/>
          <w:color w:val="000000"/>
          <w:sz w:val="22"/>
        </w:rPr>
        <w:t>Seconds shall not throw or splash water upon a contestant. A wet sponge may be used between rounds to refresh the contestant. Excess water on the floor of the ring shall be wiped up immediately by the seconds. Water discharged from the mouth of a contestant shall be caught in a bucket.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