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875—173.5</w:t>
      </w:r>
      <w:r>
        <w:rPr>
          <w:rFonts w:ascii="Times New Roman" w:hAnsi="Times New Roman"/>
          <w:b/>
          <w:i w:val="false"/>
          <w:color w:val="000000"/>
          <w:sz w:val="22"/>
        </w:rPr>
        <w:t xml:space="preserve">(90A) </w:t>
      </w:r>
      <w:r>
        <w:rPr>
          <w:rFonts w:ascii="Times New Roman" w:hAnsi="Times New Roman"/>
          <w:b/>
          <w:i w:val="false"/>
          <w:color w:val="000000"/>
          <w:sz w:val="22"/>
        </w:rPr>
        <w:t xml:space="preserve">Limitation on number of bouts. </w:t>
      </w:r>
      <w:r>
        <w:rPr>
          <w:rFonts w:ascii="Times New Roman" w:hAnsi="Times New Roman"/>
          <w:b w:val="false"/>
          <w:i w:val="false"/>
          <w:color w:val="000000"/>
          <w:sz w:val="22"/>
        </w:rPr>
        <w:t>Any boxing contestant who has agreed to take part in a bout of five rounds or more is not permitted to participate in any other bout in Iowa or elsewhere five days prior to the date of the bout unless given permission by the commissioner.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