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875—173.45</w:t>
      </w:r>
      <w:r>
        <w:rPr>
          <w:rFonts w:ascii="Times New Roman" w:hAnsi="Times New Roman"/>
          <w:b/>
          <w:i w:val="false"/>
          <w:color w:val="000000"/>
          <w:sz w:val="22"/>
        </w:rPr>
        <w:t xml:space="preserve">(90A) </w:t>
      </w:r>
      <w:r>
        <w:rPr>
          <w:rFonts w:ascii="Times New Roman" w:hAnsi="Times New Roman"/>
          <w:b/>
          <w:i w:val="false"/>
          <w:color w:val="000000"/>
          <w:sz w:val="22"/>
        </w:rPr>
        <w:t xml:space="preserve">Seconds. </w:t>
      </w:r>
      <w:r>
        <w:rPr>
          <w:rFonts w:ascii="Times New Roman" w:hAnsi="Times New Roman"/>
          <w:b w:val="false"/>
          <w:i w:val="false"/>
          <w:color w:val="000000"/>
          <w:sz w:val="22"/>
        </w:rPr>
        <w:t>Unless special permission is given by the commissioner, there will not be more than two seconds. Before the start of the bout, each corner shall notify the referee of the name of the chief second.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