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875—173.42</w:t>
      </w:r>
      <w:r>
        <w:rPr>
          <w:rFonts w:ascii="Times New Roman" w:hAnsi="Times New Roman"/>
          <w:b/>
          <w:i w:val="false"/>
          <w:color w:val="000000"/>
          <w:sz w:val="22"/>
        </w:rPr>
        <w:t xml:space="preserve">(90A) </w:t>
      </w:r>
      <w:r>
        <w:rPr>
          <w:rFonts w:ascii="Times New Roman" w:hAnsi="Times New Roman"/>
          <w:b/>
          <w:i w:val="false"/>
          <w:color w:val="000000"/>
          <w:sz w:val="22"/>
        </w:rPr>
        <w:t xml:space="preserve">Attending ring physician. </w:t>
      </w:r>
      <w:r>
        <w:rPr>
          <w:rFonts w:ascii="Times New Roman" w:hAnsi="Times New Roman"/>
          <w:b w:val="false"/>
          <w:i w:val="false"/>
          <w:color w:val="000000"/>
          <w:sz w:val="22"/>
        </w:rPr>
        <w:t>When a boxer has been injured seriously, knocked out or technically knocked out, the referee shall immediately summon the attending ring physician to aid the stricken boxer. Managers, handlers and seconds shall not attend to the stricken boxer, except at the request of the physician.</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8839C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